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1B_185/2019 vom 26. November 2019</w:t>
      </w:r>
    </w:p>
    <w:p>
      <w:r>
        <w:t>Bundesgericht, 2019-11-26, DE</w:t>
      </w:r>
    </w:p>
    <w:p>
      <w:r>
        <w:rPr>
          <w:b/>
        </w:rPr>
        <w:t xml:space="preserve">Quelle: </w:t>
      </w:r>
      <w:r>
        <w:t>https://mcp.opencaselaw.ch/entscheid/bger_1B_185_2019</w:t>
      </w:r>
    </w:p>
    <w:p>
      <w:r>
        <w:t>FR: TF 1B_185/2019 du 26 novembre 2019</w:t>
      </w:r>
    </w:p>
    <w:p>
      <w:r>
        <w:t>IT: TF 1B_185/2019 del 26 novembre 2019</w:t>
      </w:r>
    </w:p>
    <w:p>
      <w:pPr>
        <w:pStyle w:val="Heading2"/>
      </w:pPr>
      <w:r>
        <w:t>Erwägungen</w:t>
      </w:r>
    </w:p>
    <w:p>
      <w:r>
        <w:rPr>
          <w:b/>
        </w:rPr>
        <w:t>E. 1</w:t>
      </w:r>
    </w:p>
    <w:p>
      <w:r>
        <w:t>Gegenstand des angefochtenen Entscheides ist ein letztinstanzlicher kantonaler Entsiegelungsentscheid ( Art. 80 Abs. 2 Satz 3 BGG i.V.m. Art. 248 Abs. 3 StPO ). Zu prüfen ist, ob die gesetzlichen Sachurteilsvoraussetzungen erfüllt sind ( Art. 78 ff. BGG ). Das Bundesgericht beurteilt diese Frage von Amtes wegen und mit freier Kognition (Art. 29 Abs. 1 und Art. 106 Abs. 1 i.V.m. Art. 42 Abs. 1-2 BGG ; BGE 142 IV 196 E. 1.1 S. 197; 141 IV 1 E. 1.1 S. 4 f.; 284 E. 2.3 S. 287; 289 E. 1.3 S. 292; je mit Hinweisen).</w:t>
      </w:r>
    </w:p>
    <w:p>
      <w:r>
        <w:rPr>
          <w:b/>
        </w:rPr>
        <w:t>E. 1.1</w:t>
      </w:r>
    </w:p>
    <w:p>
      <w:r>
        <w:t>Das Feststellungsbegehren des Beschwerdeführers betreffend die Verwaltung von elektronischen Accounts (inklusive Passwörterverwaltung) durch die Untersuchungsbehörde und sein Antrag, das Bundesgericht habe eine "Passwortzurücksetzung erneut vorzunehmen", beziehen sich nicht auf den Gegenstand des angefochtenen Entscheides (nämlich die Entsiegelung und Durchsuchung von Aufzeichnungen und Gegenständen gemäss Art. 248 i.V.m. Art. 246 StPO ), sondern auf weitere Untersuchungshandlungen bzw. strafprozessuale Sicherungsmassnahmen der Staatsanwaltschaft (vgl. Art. 263 Abs. 1 lit. d StPO i.V.m. Art. 69 f. StGB). Darauf ist nicht einzutreten (vgl. Art. 80 BGG ). Soweit sich die konnexen Nichteintretensentscheide vom 14. November 2018 des kantonalen Obergerichtes mit den fraglichen Untersuchungshandlungen befasst haben, sind diese Entscheide in Rechtskraft erwachsen (vgl. Art. 100 Abs. 1 BGG ).</w:t>
      </w:r>
    </w:p>
    <w:p>
      <w:r>
        <w:rPr>
          <w:b/>
        </w:rPr>
        <w:t>E. 1.2</w:t>
      </w:r>
    </w:p>
    <w:p>
      <w:r>
        <w:t>Soweit die Beschwerdeschrift den Gegenstand des angefochtenen (Teil-) Entsiegelungsentscheides (Dispositivziffer 2) betrifft, ergibt sich aus dem Rechtsbegehren, dass der Beschuldigte sich nicht mehr gegen die vom ZMG verfügte Entsiegelung der am 2. August 2018 (bei vier Hausdurchsuchungen) sichergestellten Gegenstände wendet. Auch in seiner weiteren Eingabe an das Bundesgericht vom 19. August 2019 bestätigt der Beschwerdeführer, er habe (schon im vorinstanzlichen Verfahren) seinen ursprünglichen "Antrag betreffend Siegelung von Sicherstellungen zurückgezogen". "Sämtliche Gegenstände, Computer, Datenträger etc., welche gemäss Sicherstellungslisten in Räumlichkeiten, welche" ihm "zugeordnet wurden, sichergestellt wurden", stünden daher "den Strafuntersuchungsbehörden zur Auswertung uneingeschränkt zur Verfügung".</w:t>
      </w:r>
    </w:p>
    <w:p>
      <w:r>
        <w:t>Das förmliche Rechtsbegehren des Beschwerdeführers richtet sich (nur noch) gegen die Entsiegelung und Durchsuchung von (in den Beschlagnahmeverfügungen vom 7. bzw. 22. August 2018 aufgeführten) zehn E-Mail-Accounts, einem Benutzerkonto für eine Darknet-Handelsplattform, drei weiteren Accounts sowie von sämtlichen Angeboten eines anonymiserten Internet-Users auf vier Darknet-Handelsplattformen. Diesbezüglich macht der Beschwerdeführer (in seiner Eingabe an das Bundesgericht vom 19. August 2019) Folgendes geltend: An der Siegelung halte er "einzig und allein" für jene Dateien fest, welche sich "nicht auf den" (anlässlich der vier Hausdurchsuchungen) "sichergestellten Datenträgern" befinden, welche ihm persönlich "zugeordnet wurden".</w:t>
      </w:r>
    </w:p>
    <w:p>
      <w:r>
        <w:rPr>
          <w:b/>
        </w:rPr>
        <w:t>E. 1.3</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S. 244; 141 IV 289 E. 1.1-1.2 S. 291 f. mit Hinweisen; nicht amtl. publ. E. 1 von BGE 144 IV 74 , E. 2.1 von BGE 143 IV 270 , und E. 2 von BGE 142 IV 207 ; s.a. BGE 141 IV 77 E. 4.4 und E. 5 S. 82 ff.; 140 IV 28 E. 3.2 S. 32; 138 IV 225 E. 6.1 S. 227 f.).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 Zur Beschwerde in Strafsachen ist zudem nur befugt, wer ein eigenes rechtlich geschütztes Interesse an der Aufhebung oder Änderung des angefochtenen Zwischenentscheides hat ( Art. 81 Abs. 1 lit. b BGG ). Die betreffenden Sachurteilsvoraussetzungen sind in der Beschwerdeschrift ausreichend zu substanziieren, soweit sie nicht offensichtlich erfüllt erscheinen ( Art. 42 Abs. 1-2 BGG ; BGE 141 IV 1 E. 1.1 S. 4 f.; 284 E. 2.3 S. 287; 289 E. 1.3 S. 292; je mit Hinweisen).</w:t>
      </w:r>
    </w:p>
    <w:p>
      <w:r>
        <w:rPr>
          <w:b/>
        </w:rPr>
        <w:t>E. 1.4</w:t>
      </w:r>
    </w:p>
    <w:p>
      <w:r>
        <w:t>In der Beschwerdeschrift wird der drohende nicht wieder gutzumachende Rechtsnachteil wie folgt begründet: Im Falle einer Entsiegelung würden "nicht gesetzeskonform erhobene Informationen und Daten in das Strafverfahren" einfliessen. Die vom Beschwerdeführer aufgeworfenen materiellrechtlichen Fragen, insbesondere "die Kernfrage, ob Daten ohne deren Datenträger" strafprozessual beschlagnahmt werden könnten, seien zudem "von grundsätzlicher Bedeutung". Zur Frage der Beschwerdelegitimation (bzw. seines rechtlich geschützten Anfechtungsinteresses) macht der Beschuldigte sinngemäss geltend, er sei der "User" von vier betroffenen Darknet-Handelsplattformen und habe über zwei genannte E-Mail-Accounts "kommuniziert".</w:t>
      </w:r>
    </w:p>
    <w:p>
      <w:r>
        <w:rPr>
          <w:b/>
        </w:rPr>
        <w:t>E. 1.5</w:t>
      </w:r>
    </w:p>
    <w:p>
      <w:r>
        <w:t>In diesem Zusammenhang werden in der Beschwerdeschrift keinerlei bedrohte und gesetzlich geschützte Geheimnisinteressen genannt, geschweige ausreichend substanziiert. Im Übrigen hat schon das ZMG moniert, dass der Beschwerdeführer auch im vorinstanzlichen Verfahren keine genügenden Ausführungen zu angeblich tangierten Geheimnisinteressen gemacht habe (vgl. angefochtener Entscheid, E. 5 S. 10 f.). Das blosse prozesstaktische Parteiinteresse eines Beschuldigten, wonach es der Untersuchungsbehörde möglichst erschwert werden sollte, belastendes Beweismaterial zu erheben, fällt nicht unter die schutzwürdigen Geheimnisinteressen im Sinne von Art. 248 Abs. 1 StPO ( BGE 142 IV 207 E. 11 S. 228).</w:t>
      </w:r>
    </w:p>
    <w:p>
      <w:r>
        <w:t>Darüber hinaus weist der Beschwerdeführer auch noch selber darauf hin, dass es bei den elektronischen Accounts und Dateien, deren Entsiegelung er (laut Rechtsbegehren) derzeit noch verhindern will, um Gegenstände handelt, die ihm noch nicht persönlich "zugeordnet" wurden. Entsprechendes ergibt sich auch aus den vorliegenden Akten. Damit ist - bezüglich der hier noch streitigen Entsiegelungssache - weder ein eigenes rechtlich geschütztes Anfechtungsinteresse des Beschwerdeführers ausreichend dargetan ( Art. 81 Abs. 1 lit. b BGG ), noch ein drohender nicht wieder gutzumachender Rechtsnachteil ( Art. 93 Abs. 1 lit. a BGG i.V.m. Art. 248 Abs. 1 StPO ).</w:t>
      </w:r>
    </w:p>
    <w:p>
      <w:r>
        <w:rPr>
          <w:b/>
        </w:rPr>
        <w:t>E. 2</w:t>
      </w:r>
    </w:p>
    <w:p>
      <w:r>
        <w:t>Auf die Beschwerde ist nicht einzutreten.</w:t>
      </w:r>
    </w:p>
    <w:p>
      <w:r>
        <w:t>Der Beschwerdeführer stellt ein Gesuch um unentgeltliche Rechtspflege. Die finanzielle Bedürftigkeit des (längere Zeit inhaftierten und amtlich verteidigten) Gesuchstellers ist ausreichend dargetan. Da auch die übrigen gesetzlichen Voraussetzungen grundsätzlich erfüllt erscheinen,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