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1B_185/2013 vom 27. September 2013</w:t>
      </w:r>
    </w:p>
    <w:p>
      <w:r>
        <w:t>Bundesgericht, 2013-09-27, DE</w:t>
      </w:r>
    </w:p>
    <w:p>
      <w:r>
        <w:rPr>
          <w:b/>
        </w:rPr>
        <w:t xml:space="preserve">Quelle: </w:t>
      </w:r>
      <w:r>
        <w:t>https://mcp.opencaselaw.ch/entscheid/bger_1B_185_2013</w:t>
      </w:r>
    </w:p>
    <w:p>
      <w:r>
        <w:t>FR: TF 1B_185/2013 du 27 septembre 2013</w:t>
      </w:r>
    </w:p>
    <w:p>
      <w:r>
        <w:t>IT: TF 1B_185/2013 del 27 settembre 2013</w:t>
      </w:r>
    </w:p>
    <w:p>
      <w:pPr>
        <w:pStyle w:val="Heading2"/>
      </w:pPr>
      <w:r>
        <w:t>Erwägungen</w:t>
      </w:r>
    </w:p>
    <w:p>
      <w:r>
        <w:rPr>
          <w:b/>
        </w:rPr>
        <w:t>E. 1</w:t>
      </w:r>
    </w:p>
    <w:p>
      <w:r>
        <w:t>Angefochten ist der Entscheid einer letzten kantonalen Instanz in einer Strafsache. Dagegen steht die Beschwerde in Strafsachen nach den Art. 78 ff. BGG offen. Damit verbleibt für eine subsidiäre Verfassungsbeschwerde kein Raum ( Art. 113 BGG ). Die Eingabe ist als Beschwerde in Strafsachen entgegenzunehmen.</w:t>
      </w:r>
    </w:p>
    <w:p>
      <w:r>
        <w:rPr>
          <w:b/>
        </w:rPr>
        <w:t>E. 1.1</w:t>
      </w:r>
    </w:p>
    <w:p>
      <w:r>
        <w:t>Der angefochtene Entscheid schützt einerseits den Ausschluss des Beschwerdeführers aus bzw. seine Nichtzulassung zum Strafverfahren (Dispositiv-Ziffern 1 und 2 der staatsanwaltlichen Verfügung vom 8. Januar 2013). Für den Beschwerdeführer ist das Verfahren damit abgeschlossen, weshalb für ihn insoweit ein Endentscheid im Sinn von Art. 90 BGG vorliegt, gegen den die Beschwerde zulässig ist. Diesbezüglich ist der Beschwerdeführer nach Art. 81 Abs. 1 BGG zur Beschwerde befugt, wenn er am Verfahren teilgenommen hat oder zu Unrecht davon ausgeschlossen wurde (lit. a) und er ein rechtlich geschütztes Interesse an der Aufhebung des angefochtenen Entscheids hat, was beim Privatkläger dann der Fall ist, wenn sich dieser auf die Beurteilung seiner Zivilansprüche auswirken kann (lit. b Ziff. 5). Es ist Sache des Beschwerdeführers darzulegen, dass die gesetzlichen Legitimationsvoraussetzungen erfüllt sind ( Art. 42 Abs. 2 BGG ; BGE 133 II 249 E. 1.1; Urteil 2C_943/2011 vom 12. April 2012 E. 1.2).</w:t>
      </w:r>
    </w:p>
    <w:p>
      <w:r>
        <w:t>Unter dem Titel "C. Beschwerdelegitimation" führt der Beschwerdeführer in der Beschwerdeschrift (S. 4) dazu aus, er sei als Adressat des angefochtenen Beschlusses gemäss Art. 81 Abs. 1 lit. a BGG aktivlegitimiert, und das rechtlich geschützte Interesse nach Art. 81 Abs. 1 lit. b BGG liege "in der Wahrung der prozessualen Rechte sowie der Grundrechte". Daraus ergibt sich offensichtlich nicht, dass und weshalb die Voraussetzungen von Art. 81 BGG erfüllt sein sollten. Allerdings versucht der Beschwerdeführer im materiellen Teil der Beschwerde (S. 8 ff.) die Auffassung der Vorinstanzen, dass er nur mittelbar geschädigt sei und sich deshalb nicht als Privatkläger am Strafverfahren beteiligen könne, zu widerlegen. Diese Ausführungen würden - ob zutreffend oder nicht - zur Begründung seiner Privatklägerstellung als Sachurteilsvoraussetzung ausreichen. Allerdings ist der Privatkläger zur Beschwerde nur befugt, wenn sich der angefochtene Entscheid auf seine Zivilansprüche auswirken kann. Dies legt der Beschwerdeführer nicht dar, und das ist auch nicht ersichtlich. Er hätte dazu im Übrigen umso mehr Anlass gehabt, als das Obergericht dies - insbesondere gestützt auf eine Saldoerklärung des Beschwerdeführers selber - ausdrücklich ausschliesst (angefochtener Entscheid E. 3.1 S. 6 f.). Auf die Beschwerde ist insoweit nicht einzutreten.</w:t>
      </w:r>
    </w:p>
    <w:p>
      <w:r>
        <w:rPr>
          <w:b/>
        </w:rPr>
        <w:t>E. 1.2</w:t>
      </w:r>
    </w:p>
    <w:p>
      <w:r>
        <w:t>Nicht verfahrensabschliessend sind anderseits die Anordnungen der Staatsanwaltschaft in Bezug auf die beim Beschwerdeführer sichergestellten Akten und Daten (Dispositiv-Ziffern 3 und 4 der staatsanwaltlichen Verfügung vom 8. Januar 2013). In der Abweisung der Beschwerde gegen diese beiden Punkte durch das Obergericht im angefochtenen Entscheid liegt damit ein Zwischenentscheid im Sinn von Art. 93 Abs. 1 BGG vor, gegen den die Beschwerde zulässig ist, wenn er einen nicht wieder gutzumachenden Nachteil bewirken könnte (lit. a) oder wenn die Gutheissung der Beschwerde einen Endentscheid herbeiführen und damit einen bedeutenden Aufwand an Zeit und Kosten für ein weitläufiges Beweisverfahren ersparen würde (lit. b). Die zweite Voraussetzung fällt vorliegend ausser Betracht, und der Beschwerdeführer legt unter Verletzung seiner Begründungspflicht ( Art. 42 Abs. 2 BGG ; BGE 137 III 324 E. 1.1; 134 III 426 E. 1.2 S. 429; 133 III 629 E. 2.3.1 und 2.4.2) nicht dar, inwiefern der angefochtene Entscheid in diesem Punkt einen nicht wiedergutzumachenden Nachteil bewirken könnte. Das ist im Übrigen auch nicht offensichtlich. Auf die Beschwerde ist daher auch insoweit nicht einzutreten, als das Obergericht die Dispositiv-Ziffern 3 und 4 der staatsanwaltschaftlichen Verfügung schützte.</w:t>
      </w:r>
    </w:p>
    <w:p>
      <w:r>
        <w:rPr>
          <w:b/>
        </w:rPr>
        <w:t>E. 2</w:t>
      </w:r>
    </w:p>
    <w:p>
      <w:r>
        <w:t>Auf die Beschwerde ist daher nicht einzutreten. Damit wird der Beschwerdeführer kostenpflichtig ( Art. 66 Abs. 1 BGG ), und er hat den privaten Beschwerdegegnern, soweit sie sich am Verfahren beteiligt haben,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