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1B_184/2018 vom 4. Juni 2018</w:t>
      </w:r>
    </w:p>
    <w:p>
      <w:r>
        <w:t>Bundesgericht, 2018-06-04, DE</w:t>
      </w:r>
    </w:p>
    <w:p>
      <w:r>
        <w:rPr>
          <w:b/>
        </w:rPr>
        <w:t xml:space="preserve">Quelle: </w:t>
      </w:r>
      <w:r>
        <w:t>https://mcp.opencaselaw.ch/entscheid/bger_1B_184_2018</w:t>
      </w:r>
    </w:p>
    <w:p>
      <w:r>
        <w:t>FR: TF 1B_184/2018 du 4 juin 2018</w:t>
      </w:r>
    </w:p>
    <w:p>
      <w:r>
        <w:t>IT: TF 1B_184/2018 del 4 giugno 2018</w:t>
      </w:r>
    </w:p>
    <w:p>
      <w:pPr>
        <w:pStyle w:val="Heading2"/>
      </w:pPr>
      <w:r>
        <w:t>Erwägungen</w:t>
      </w:r>
    </w:p>
    <w:p>
      <w:r>
        <w:rPr>
          <w:b/>
        </w:rPr>
        <w:t>E. 1.1</w:t>
      </w:r>
    </w:p>
    <w:p>
      <w:r>
        <w:t>Beim angefochtenen Beschluss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Beschwerdeführer ist gemäss Art. 81 Abs. 1 BGG zur Beschwerde befugt. Auf sein Rechtsmittel ist grundsätzlich einzutreten.</w:t>
      </w:r>
    </w:p>
    <w:p>
      <w:r>
        <w:rPr>
          <w:b/>
        </w:rPr>
        <w:t>E. 1.2</w:t>
      </w:r>
    </w:p>
    <w:p>
      <w:r>
        <w:t>Die Vorinstanz hielt fest, es prüfe einzig die Besetzung des Obergerichts im Berufungsverfahren. Ob die Abwesenheit der Staatsanwaltschaft an der erstinstanzlichen Hauptverhandlung einen Ausstandsgrund in Bezug auf das Regionalgericht begründe, werde dagegen im Hauptverfahren zu prüfen sein (Urteil des Bundesgerichts 1B_197/2015 vom 21. Juli 2015 E. 2.2 mit Hinweis). Unbesehen dieser Ausführungen macht der Beschwerdeführer vor Bundesgericht geltend, das Nichterscheinen der Staatsanwaltschaft im erstinstanzlichen Verfahren verletze Art. 6 EMRK . Dass die Vorinstanz Recht verletzte, indem sie auf die Frage nicht eintrat, behauptet er jedoch nicht ( Art. 42 Abs. 2 BGG ).</w:t>
      </w:r>
    </w:p>
    <w:p>
      <w:r>
        <w:rPr>
          <w:b/>
        </w:rPr>
        <w:t>E. 1.3</w:t>
      </w:r>
    </w:p>
    <w:p>
      <w:r>
        <w:t>Nicht einzutreten ist auf die Beschwerde zudem insoweit, als sie sich gegen die Kostenauferlegung an den Rechtsvertreter des Beschwerdeführers richtet. Der Beschwerdeführer hat (im Gegensatz zu seinem Rechtsvertreter) insofern offensichtlich kein rechtlich geschütztes Interesse an der Aufhebung oder Änderung des angefochtenen Entscheids ( Art. 81 Abs. 1 lit. b BGG ).</w:t>
      </w:r>
    </w:p>
    <w:p>
      <w:r>
        <w:rPr>
          <w:b/>
        </w:rPr>
        <w:t>E. 2.1</w:t>
      </w:r>
    </w:p>
    <w:p>
      <w:r>
        <w:t>Der Beschwerdeführer macht geltend, er lehne die von der strafrechtlichen Abteilung des Bundesgerichts bestimmte Besetzung des Spruchkörpers wegen eines Verstosses gegen Art. 6 EMRK aus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 Dass die Gefahr einer Beeinflussung tatsächlich bestehe, zeige sich auch an einem Zeitungsartikel aus dem Jahr 2003 betreffend eine "Spuck-Affäre" von alt Bundesrichter Schubarth. Gemäss der Aussage jenes Bundesrichters solle es Versuche der politischen Einflussnahme auf die Rechtsprechung gegeben haben. Ungeachtet des Wahrheitsgehalts dieser Behauptung werde im Zeitungsartikel weiter erwähnt, dass das Bundesgericht sich damals dazu entschieden habe, den Bundesrichter wegen der Affäre nicht mehr in der Rechtsprechung einzusetzen, weil er sich geweigert habe, zurückzutreten. Beeinflussungsversuche habe es auch von Aussen, insbesondere von Seiten politischer Parteien gegeben. Diese seien bis hin zur Drohung mit der Nichtwiederwahl als Folge gesellschaftlich umstrittener Urteile gegangen. Zudem gebe es die Praxis, wonach die Richter Geld an ihre Partei zahlten.</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w:t>
      </w:r>
    </w:p>
    <w:p>
      <w:r>
        <w:rPr>
          <w:b/>
        </w:rPr>
        <w:t>E. 2.4</w:t>
      </w:r>
    </w:p>
    <w:p>
      <w:r>
        <w:t>Die weiteren Hinweise des Beschwerdeführers sind nicht geeignet, objektive Zweifel an der Unabhängigkeit der Bundesrichter zu wecken. Soweit er sich auf einen Zeitungsbericht aus dem Jahr 2003 beruft, übersieht er, dass die rechtliche Ausgangslage heute anders ist (vgl. E. 2.3 hiervor), weshalb es sich erübrigt, auf seine diesbezüglichen Vorbringen im Einzelnen einzugehen. Die Amtsdauer der Bundesrichter von sechs Jahren ( Art. 145 BV , Art. 9 Abs. 1 BGG ) mit Wiederwahlmöglichkeit verletzt die richterliche Unabhängigkeit gemäss Art. 30 Abs. 1 BV und Art. 6 Abs. 1 EMRK nicht ( BGE 119 Ia 81 E. 4 S. 85; vgl. auch BGE 143 I 211 E. 3 S. 212 ff. mit Hinweisen). Auch Zuwendungen von Richtern an politische Parteien vermögen für sich allein genommen die richterliche Unabhängigkeit nicht in Frage zu stellen. Inwieweit zutrifft, dass es in der Vergangenheit zu (politischen) Beeinflussungsversuchen gegenüber Bundesrichtern gekommen ist, braucht nicht im Einzelnen erörtert zu werden. Beeinflussungsversuche allein sind kein Beweis für mangelnde richterliche Unabhängigkeit. Dass das bestehende gesetzliche Rahmenwerk keinen hinreichenden Schutz dagegen gewährt, vermag der Beschwerdeführer nicht darzutun und ist auch nicht ersichtlich. Er behauptet im Übrigen auch nicht, dass im vorliegenden Fall von Aussen versucht worden sei, auf das Verfahren Einfluss zu nehmen.</w:t>
      </w:r>
    </w:p>
    <w:p>
      <w:r>
        <w:rPr>
          <w:b/>
        </w:rPr>
        <w:t>E. 2.5</w:t>
      </w:r>
    </w:p>
    <w:p>
      <w:r>
        <w:t>Die Rüge der Verletzung von Art. 6 EMRK ist somit unbegründet, und der Spruchkörper ist in der dargestellten üblichen Weise zu besetzen.</w:t>
      </w:r>
    </w:p>
    <w:p>
      <w:r>
        <w:rPr>
          <w:b/>
        </w:rPr>
        <w:t>E. 3.1</w:t>
      </w:r>
    </w:p>
    <w:p>
      <w:r>
        <w:t>Der Beschwerdeführer kritisiert, am Obergericht bestünden keine gesetzlichen Bestimmungen, die die Richterzuteilung im Voraus abstrakt regelten. Art. 6 EMRK verlange indessen, dass die Besetzung des Gerichts klar und eindeutig geregelt sei. Es sei unzulässig, wenn der Gerichtspräsident insofern über einen Spielraum verfüge. Er lehne deshalb Oberrichter Niklaus, Geiser und Kiener ab.</w:t>
      </w:r>
    </w:p>
    <w:p>
      <w:r>
        <w:rPr>
          <w:b/>
        </w:rPr>
        <w:t>E. 3.2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3.3</w:t>
      </w:r>
    </w:p>
    <w:p>
      <w:r>
        <w:t>Die Besetzung der Richterbank am Obergericht Bern ist in Art. 44 f. des Gesetzes des Kantons Bern vom 11. Juni 2009 über die Organisation der Gerichtsbehörden und der Staatsanwaltschaft (GSOG; BSG 161.1) geregelt. Die beiden Bestimmungen haben, soweit vorliegend von Interesse, folgenden Wortlaut:</w:t>
      </w:r>
    </w:p>
    <w:p>
      <w:r>
        <w:t>Art. 44 Abteilungspräsidentin oder Abteilungspräsident</w:t>
      </w:r>
    </w:p>
    <w:p>
      <w:r>
        <w:t>1 Die Abteilungspräsidentin oder der Abteilungspräsident führt die Abteilung und ist verantwortlich für die Fallzuteilung und den Belastungsausgleich.</w:t>
      </w:r>
    </w:p>
    <w:p>
      <w:r>
        <w:t>2 Sie oder er entscheidet über den Beizug von Ersatzrichterinnen und Ersatzrichtern.</w:t>
      </w:r>
    </w:p>
    <w:p>
      <w:r>
        <w:t>...</w:t>
      </w:r>
    </w:p>
    <w:p>
      <w:r>
        <w:t>Art. 45 Spruchkörper</w:t>
      </w:r>
    </w:p>
    <w:p>
      <w:r>
        <w:t>1 Die Urteilsfindung erfolgt in Dreierbesetzung, soweit das Gesetz nichts anderes bestimmt.</w:t>
      </w:r>
    </w:p>
    <w:p>
      <w:r>
        <w:t>...</w:t>
      </w:r>
    </w:p>
    <w:p>
      <w:r>
        <w:rPr>
          <w:b/>
        </w:rPr>
        <w:t>E. 3.4</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Das Bundesgericht setzte sich auch mit der Kritik an der Wahl der für das Ausstandsverfahren zuständigen Richter auseinander und stellte fest, dass sich das Obergericht auch in dieser Hinsicht von sachlichen Gesichtspunkten hatte leiten lassen, nämlich der Regel, dass konnexe Fälle im Allgemeinen vom gleichen Spruchkörper zu behandeln sind sowie der Regel, dass von einem Ausstandsgesuch betroffene Personen am Entscheid über dessen Begründetheit nicht mitwirken (zum Ganzen: a.a.O., E. 5-6, insbesondere E. 6.3). Die vom Beschwerdeführer vorgetragene Kritik an den betreffenden Erwägungen, die auch im vorliegenden Verfahren Gültigkeit beanspruchen, gibt keinen Anlass, darauf zurückzukommen.</w:t>
      </w:r>
    </w:p>
    <w:p>
      <w:r>
        <w:rPr>
          <w:b/>
        </w:rPr>
        <w:t>E. 4.1</w:t>
      </w:r>
    </w:p>
    <w:p>
      <w:r>
        <w:t>Der Beschwerdeführer macht geltend, die ohne Begründung erfolgte Ersetzung von Oberrichter Weber durch Oberricher Schmid verstosse gegen Art. 6 EMRK . Eine gesetzliche Grundlage für diesen Vorgang sei nicht ersichtlich. Auch sei unklar, wer Oberrichter Schmid ausgewählt habe. Schliesslich habe ihm gegen den Wechsel kein Rechtsmittel zur Verfügung gestanden, was nach der Rechtsprechung des EGMR jedoch erforderlich sei.</w:t>
      </w:r>
    </w:p>
    <w:p>
      <w:r>
        <w:rPr>
          <w:b/>
        </w:rPr>
        <w:t>E. 4.2</w:t>
      </w:r>
    </w:p>
    <w:p>
      <w:r>
        <w:t>Die Regelung von Art. 30 Abs. 1 BV und Art. 6 Abs. 1 EMRK will verhindern, dass Gerichte eigens für die Beurteilung einer Angelegenheit gebildet werden. Die Rechtsprechung soll auch nicht durch eine gezielte Auswahl der Richterinnen und Richter im Einzelfall beeinflusst werden können. Jede Besetzung, die sich nicht mit sachlichen Gründen rechtfertigen lässt, verletzt die Garantie des verfassungsmässigen Richters. Dasselbe gilt für die Auswechslung eines Richters, den Einsatz von Ersatzrichtern und die Übertragung präsidialer Funktionen (zur Publ. bestimmtes Urteil 6B_1356/2016 vom 5. Januar 2018 E. 2.1; Urteil 1B_79/2017 vom 21. September 2017 E. 4.1; je mit Hinweisen; vgl. auch die Übersicht über die Rechtsprechung des EGMR im Urteil 1C_187/2017 vom 20. März 2018 E. 6.3).</w:t>
      </w:r>
    </w:p>
    <w:p>
      <w:r>
        <w:rPr>
          <w:b/>
        </w:rPr>
        <w:t>E. 4.3</w:t>
      </w:r>
    </w:p>
    <w:p>
      <w:r>
        <w:t>Es ist zutreffend, dass der Wechsel in der Besetzung des Berufungsgerichts zunächst nicht begründet worden war (vgl. BGE 142 I 93 E. 8.2 S. 94 f. mit Hinweisen). Eine Begründung wurde jedoch mit Schreiben vom 14. Februar 2018 nachgeliefert. Dem Beschwerdeführer wurde dabei auch Gelegenheit gegeben mitzuteilen, ob er vor diesem Hintergrund am Ausstandsgesuch festhalte.</w:t>
      </w:r>
    </w:p>
    <w:p>
      <w:r>
        <w:rPr>
          <w:b/>
        </w:rPr>
        <w:t>E. 4.4</w:t>
      </w:r>
    </w:p>
    <w:p>
      <w:r>
        <w:t>Dass dem Beschwerdeführer kein Rechtsmittel zur Verfügung gestanden hätte, ist offensichtlich unzutreffend. Er hatte die Möglichkeit, den von ihm behaupteten Verfahrensmangel zunächst im vorinstanzlichen Verfahren und in der Folge mit seiner Beschwerde ans Bundesgericht geltend zu machen.</w:t>
      </w:r>
    </w:p>
    <w:p>
      <w:r>
        <w:rPr>
          <w:b/>
        </w:rPr>
        <w:t>E. 4.5</w:t>
      </w:r>
    </w:p>
    <w:p>
      <w:r>
        <w:t>Bezüglich des Grunds für den Richterwechsel hält die Vorinstanz fest, Oberrichter Weber sei am 30. November 2016 pensioniert worden. Oberrichter Schmid, der sein Amt am 1. Dezember 2016 angetreten habe, sei vom Grossen Rat des Kantons Bern ordnungsgemäss gewählt und vom Plenum des Obergerichts der Strafabteilung und anschliessend durch die Strafabteilungskonferenz der 2. Strafkammer zugeteilt und damit als Nachfolger von Oberrichter Weber bestimmt worden. In der Folge seien die hängigen Verfahren, in denen Oberrichter Weber Referent gewesen sei - wozu auch das hier in Frage stehende Dossier gehöre - an Oberrichter Schmid übertragen worden. Die Übertragung pendenter Dossiers auf den Nachfolger eines pensionierten Richters entspreche einer seit Jahren geltenden Praxis.</w:t>
      </w:r>
    </w:p>
    <w:p>
      <w:r>
        <w:rPr>
          <w:b/>
        </w:rPr>
        <w:t>E. 4.6</w:t>
      </w:r>
    </w:p>
    <w:p>
      <w:r>
        <w:t>Diese Begründung ist mit der bundesgerichtlichen Rechtsprechung vereinbar. Die Pensionierung eines Richters stellt ohne Weiteres einen sachlichen Grund für einen Wechsel in der Spruchkörperbesetzung dar (vgl. Urteil des EGMR</w:t>
      </w:r>
    </w:p>
    <w:p>
      <w:r>
        <w:t>Gurov gegen Moldawien vom 11. Juli 2007, Nr. 36455/02, Ziff. 37 f., wonach es gegen Art. 6 EMRK verstösst, wenn ein Richter trotz abgelaufener Amtsdauer weiter an der Rechtsprechung mitwirkt). Zudem ist es die naheliegendste Lösung, wenn der neu gewählte Richter die Dossiers des ausscheidenden übernimmt. Dies entspricht offenbar der festen Praxis und bedarf keiner ausdrücklichen gesetzlichen Grundlage.</w:t>
      </w:r>
    </w:p>
    <w:p>
      <w:r>
        <w:rPr>
          <w:b/>
        </w:rPr>
        <w:t>E. 5.1</w:t>
      </w:r>
    </w:p>
    <w:p>
      <w:r>
        <w:t>Nach Art. 56 lit. f StPO hat ein Richter in den Ausstand zu treten, wenn Tatsachen vorliegen, die ihn als befangen erscheinen lassen. Nach Art. 30 Abs. 1 BV und Art. 6 Ziff. 1 EMRK , denen in dieser Hinsicht dieselbe Tragweite zukommt,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135 I 14 E. 2 ; 133 I 1 E. 6.2 ; 131 I 113 E. 4.4 ; 125 I 219 E. 3a).</w:t>
      </w:r>
    </w:p>
    <w:p>
      <w:r>
        <w:rPr>
          <w:b/>
        </w:rPr>
        <w:t>E. 5.2</w:t>
      </w:r>
    </w:p>
    <w:p>
      <w:r>
        <w:t>Der Beschwerdeführer macht geltend, aus der Rechtsprechung des EGMR gehe hervor, dass bei Abwesenheit der Staatsanwaltschaft berechtigte Zweifel an der Unparteilichkeit des Gerichts bestünden. Er verweist auf drei Russland betreffende Verfahren und bringt vor, entscheidend sei bei diesen jeweils nicht gewesen, ob eine Gesetzesbestimmung die Teilnahme der Staatsanwaltschaft vorgeschrieben habe, sondern einzig die Tatsache, dass ein Gericht bei Nichterscheinen der Staatsanwaltschaft die Rolle der Anklage übernommen habe (Urteile</w:t>
      </w:r>
    </w:p>
    <w:p>
      <w:r>
        <w:t>Ozerov gegen Russland vom 18. Mai 2010, Nr. 64962/01;</w:t>
      </w:r>
    </w:p>
    <w:p>
      <w:r>
        <w:t>Krivoshapkin gegen Russland vom 28. Januar 2011, Nr. 42224/02 und</w:t>
      </w:r>
    </w:p>
    <w:p>
      <w:r>
        <w:t>Karelin gegen Russland vom 20. September 2016, Nr. 926/08). Zudem ist er der Auffassung, dass die Kostenauflage an seinen Rechtsvertreter im angefochtenen Entscheid Ausdruck einer Feindschaft sei.</w:t>
      </w:r>
    </w:p>
    <w:p>
      <w:r>
        <w:rPr>
          <w:b/>
        </w:rPr>
        <w:t>E. 5.3</w:t>
      </w:r>
    </w:p>
    <w:p>
      <w:r>
        <w:t>In den erwähnten Urteilen beanstandete der EGMR, dass das Strafgericht kein kontradiktorisches Verfahren durchgeführt, sondern in Abwesenheit der Staatsanwaltschaft deren Funktionen übernommen habe. Dabei schenkte der Gerichtshof dem Umstand, dass das Strafgericht aus eigenem Antrieb Beweismittel erhob und insbesondere Zeugen befragte, besonderes Augenmerk (Urteile</w:t>
      </w:r>
    </w:p>
    <w:p>
      <w:r>
        <w:t>Ozerov , Ziff. 53;</w:t>
      </w:r>
    </w:p>
    <w:p>
      <w:r>
        <w:t>Krivoshapkin , Ziff. 44). Im Urteil</w:t>
      </w:r>
    </w:p>
    <w:p>
      <w:r>
        <w:t>Karelin hielt er im Sinne einer allgemeinen Regel fest, die Anwesenheit der Staatsanwaltschaft sei angebracht, wenn eine mündliche Verhandlung opportun erscheine und der Beschuldigte auf seine eigene Anwesenheit nicht wirksam verzichtet habe. Im Berufungsverfahren könne es sich möglicherweise anders verhalten, wenn das erstinstanzliche Verfahren in dieser Hinsicht korrekt durchgeführt worden sei und der Beschuldigte nur Rechtsrügen vorbringe (zum Ganzen: Urteil</w:t>
      </w:r>
    </w:p>
    <w:p>
      <w:r>
        <w:t>Karelin , Ziff. 76 und 81).</w:t>
      </w:r>
    </w:p>
    <w:p>
      <w:r>
        <w:rPr>
          <w:b/>
        </w:rPr>
        <w:t>E. 5.4</w:t>
      </w:r>
    </w:p>
    <w:p>
      <w:r>
        <w:t>Aus dieser Rechtsprechung geht hervor, dass die Frage, ob das Sachgericht als parteilich erscheint, weil es in Abwesenheit der Staatsanwaltschaft deren Rolle übernimmt, von den Umständen des Einzelfalls abhängt. Mit anderen Worten kann die Frage der Verletzung von Art. 6 Abs. 1 EMRK erst anhand des konkreten Vorgehens des Gerichts anlässlich der Verhandlung schlüssig beantwortet werden. Ein Anschein von Befangenheit ist aus diesen Gründen im vorliegenden Fall jedenfalls im jetzigen Zeitpunkt nicht gegeben. Hinzu kommt, dass die Oberstaatsanwaltschaft zwar auf ihre Anwesenheit verzichtet hat, es jedoch der Verfahrensleitung des Berufungsgerichts nach Art. 337 Abs. 4 StPO zusteht, sie dennoch zur persönlichen Vertretung der Anklage zu verpflichten, wenn sie dies für nötig erachtet. Die Berufungsverhandlung hat offenbar noch nicht stattgefunden, weshalb eine Vorladung im Sinne der genannten Bestimmung nach wie vor möglich wäre. Auch deshalb ist die Kritik des Beschwerdeführers unbegründet (vgl. Urteil 1B_17/2018 vom 21. März 2018 E. 4.4).</w:t>
      </w:r>
    </w:p>
    <w:p>
      <w:r>
        <w:rPr>
          <w:b/>
        </w:rPr>
        <w:t>E. 5.5</w:t>
      </w:r>
    </w:p>
    <w:p>
      <w:r>
        <w:t>Die Auferlegung der Gerichtskosten an den Rechtsvertreter des Beschwerdeführers gibt keinen Anlass zu einer abweichenden Beurteilung.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 BGE 143 IV 69 E. 3.2 S. 74 f.; 141 IV 178 E. 3.2.3 S. 180; je mit Hinweisen). Die Vorinstanz hat begründet, weshalb sie es in Anwendung von Art. 417 StPO ausnahmsweise als angebracht erachtete, die Kosten dem Verteidiger aufzuerlegen. Selbst wenn sie dabei Art. 417 StPO verletzt haben sollte, ergäbe sich daraus jedenfalls kein Ausstandsgrund.</w:t>
      </w:r>
    </w:p>
    <w:p>
      <w:r>
        <w:rPr>
          <w:b/>
        </w:rPr>
        <w:t>E. 6</w:t>
      </w:r>
    </w:p>
    <w:p>
      <w:r>
        <w:t>Die Beschwerde ist aus diesen Gründen abzuweisen, soweit darauf einzutreten ist.</w:t>
      </w:r>
    </w:p>
    <w:p>
      <w:r>
        <w:t>Der Beschwerdeführer stellt ein Gesuch um unentgeltliche Prozessführung und Rechtsverbeiständung. Das Gesuch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