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183/2021 vom 21. September 2021</w:t>
      </w:r>
    </w:p>
    <w:p>
      <w:r>
        <w:t>Bundesgericht, 2021-09-21, FR</w:t>
      </w:r>
    </w:p>
    <w:p>
      <w:r>
        <w:rPr>
          <w:b/>
        </w:rPr>
        <w:t xml:space="preserve">Quelle: </w:t>
      </w:r>
      <w:r>
        <w:t>https://mcp.opencaselaw.ch/entscheid/bger_1B_183_2021</w:t>
      </w:r>
    </w:p>
    <w:p>
      <w:r>
        <w:t>FR: TF 1B 183/2021 du 21 septembre 2021</w:t>
      </w:r>
    </w:p>
    <w:p>
      <w:r>
        <w:t>IT: TF 1B 183/2021 del 21 settembre 2021</w:t>
      </w:r>
    </w:p>
    <w:p>
      <w:pPr>
        <w:pStyle w:val="Heading2"/>
      </w:pPr>
      <w:r>
        <w:t>Regeste</w:t>
      </w:r>
    </w:p>
    <w:p>
      <w:r>
        <w:t>Procédure pénale; qualité de partie plaignante | Procédure pénale</w:t>
      </w:r>
    </w:p>
    <w:p>
      <w:pPr>
        <w:pStyle w:val="Heading2"/>
      </w:pPr>
      <w:r>
        <w:t>Erwägungen</w:t>
      </w:r>
    </w:p>
    <w:p>
      <w:r>
        <w:rPr>
          <w:b/>
        </w:rPr>
        <w:t>E. 1</w:t>
      </w:r>
    </w:p>
    <w:p>
      <w:r>
        <w:t>Le recourant a produit, en annexe de son acte de recours, diverses pièces dont il entend se prévaloir pour établir la recevabilité de son recours, en particulier au regard de l'existence d'un préjudice irréparable au sens de l' art. 93 al. 1 let. a LTF . Ces documents sont ainsi supposés démontrer, d'une part, que les membres de l'association intimée sont des concurrents directs du recourant, lui-même viticulteur valaisan, et, d'autre part, que certains écrits versés à la procédure pénale MPG 19 773 contiennent des informations protégées par le secret des affaires. La recevabilité de ces pièces sous l'angle de l' art. 99 al. 1 LTF peut néanmoins rester indécise, dès lors qu'elles n'apparaissent quoi qu'il en soit pas déterminantes, compte tenu de ce qui suit.</w:t>
      </w:r>
    </w:p>
    <w:p>
      <w:r>
        <w:rPr>
          <w:b/>
        </w:rPr>
        <w:t>E. 2</w:t>
      </w:r>
    </w:p>
    <w:p>
      <w:r>
        <w:t>Le Tribunal fédéral examine d'office sa compétence ( art. 29 al. 1 LTF ) et contrôle librement la recevabilité des recours qui lui sont soumis ( ATF 145 I 239 consid. 2 p. 241).</w:t>
      </w:r>
    </w:p>
    <w:p>
      <w:r>
        <w:rPr>
          <w:b/>
        </w:rPr>
        <w:t>E. 2.1</w:t>
      </w:r>
    </w:p>
    <w:p>
      <w:r>
        <w:t>L'arrêt attaqué ne met pas fin à la procédure pénale ouverte contre le recourant et revêt un caractère incident. Il ne s'agit pas d'une décision séparée portant sur la compétence ou sur une demande de récusation de sorte que l' art. 92 LTF n'est pas applicable. Le recours en matière pénale n'est donc recevable qu'aux conditions posées à l' art. 93 al. 1 LTF , soit si la décision attaquée peut causer un préjudice irréparable (let. a) ou si l'admission du recours peut conduire immédiatement à une décision finale qui permet d'éviter une procédure probatoire longue et coûteuse (let. b). De jurisprudence constante, une décision qui reconnaît à un tiers la qualité de partie plaignante dans une procédure pénale ne cause en règle générale au prévenu aucun préjudice irréparable qu'une décision finale ne ferait pas disparaître entièrement; le simple fait d'avoir à affronter une partie de plus lors de la procédure ne constitue pas un tel préjudice. Par ailleurs, en cas de condamnation confirmée par les instances cantonales de recours, le prévenu aura la possibilité de se plaindre en dernier ressort, devant le Tribunal fédéral, d'une mauvaise application des dispositions de procédure pénale relatives à la qualité de partie plaignante (arrêts 1B_570/2020 du 17 février 2021 consid. 1.2; 1B_559/2018 du 12 mars 2019 consid. 2.1; 1B_399/2018 du 23 janvier 2019 consid. 2.1; 1B_261/2017 du 17 octobre 2017 consid. 2; voir aussi ATF 128 I 215 consid. 2.1 p. 216).</w:t>
      </w:r>
    </w:p>
    <w:p>
      <w:r>
        <w:rPr>
          <w:b/>
        </w:rPr>
        <w:t>E. 2.2</w:t>
      </w:r>
    </w:p>
    <w:p>
      <w:r>
        <w:t>Le recourant fait valoir que les membres de l'intimée, en tant que concurrents directs sur le marché viti-vinicole, pourraient se servir et profiter indûment d'informations sur ses activités commerciales, notamment sur sa clientèle, contenues dans les nombreux documents versés au dossier cantonal, et auxquels elle aurait accès en sa qualité de partie plaignante. De même, le recourant explique que, par le passé, il serait déjà arrivé à l'intimée de transmettre aux médias des informations ressortant de procédures pénales. Or, au regard de la nature des documents en cause, il est à craindre qu'elle use à nouveau de ce procédé pour jeter le discrédit sur ses activités et ainsi tenter d'orienter l'opinion publique en sa faveur. Pour autant, il est constant que l'accès au dossier pénal par la partie plaignante constitue un inconvénient potentiel inhérent à l'existence d'une procédure pénale, qui est toutefois en lui-même insuffisant, au regard de la jurisprudence, pour admettre que le prévenu soit exposé à un préjudice irréparable (arrêts 1B_570/2020 du 17 février 2021 consid. 1.2; 1B_238/2020 du 8 juin 2020 consid. 2.4; 1B_582/2012 du 12 octobre 2012 consid. 1.2). En particulier, il ne faut pas perdre de vue qu'en l'espèce, le recourant conserve, à ce stade de la procédure, la possibilité de solliciter des mesures de protection en application des art. 73 al. 2, 102 al. 1 ou 108 CPP du fait de l'admission de l'intimée en qualité de partie plaignante, de sorte que le préjudice allégué est susceptible d'être réparé par une décision ultérieure (cf. arrêts 6B_473/2021 du 12 mai 2021 consid. 1.4.3; 1B_559/2018 du 12 mars 2019 consid. 2.2).</w:t>
      </w:r>
    </w:p>
    <w:p>
      <w:r>
        <w:rPr>
          <w:b/>
        </w:rPr>
        <w:t>E. 2.3</w:t>
      </w:r>
    </w:p>
    <w:p>
      <w:r>
        <w:t>L'existence d'un préjudice irréparable subi par le recourant paraît d'autant moins établie en l'espèce que le Ministère public a laissé entendre que, dans le cadre de la procédure encore en cours (MPG 19 773), il allait rendre prochainement une ordonnance de non-entrée en matière s'agissant des faits dénoncés par l'intimée dans sa plainte du 1er avril 2015. Dans ses déterminations du 31 mai 2021 au Tribunal fédéral, le Ministère public explique en effet qu'à ses yeux, la prescription de l'action pénale quant aux faits dénoncés, en tant qu'ils se sont déroulés jusqu'en 2011 au plus tard, serait déjà atteinte, si bien qu'un empêchement de procéder, au sens de l' art. 310 al. 1 let. b CPP , ferait obstacle à la poursuite de la procédure en ce qui concerne l'intimée et justifierait donc de ne pas entrer en matière sur sa plainte en tant qu'elle porte sur des infractions au sens de l' art. 23 LCD commises à son préjudice, ce qui aurait pour effet de lui faire perdre la qualité de partie plaignante (cf. déterminations du Ministère public, p. 8).</w:t>
      </w:r>
    </w:p>
    <w:p>
      <w:r>
        <w:rPr>
          <w:b/>
        </w:rPr>
        <w:t>E. 2.4</w:t>
      </w:r>
    </w:p>
    <w:p>
      <w:r>
        <w:t>Quant à l'hypothèse décrite à l' art. 93 al. 1 let. b LTF , elle n'entre pas en ligne de compte en l'espèce. Le recourant ne fait du reste rien valoir à ce propos.</w:t>
      </w:r>
    </w:p>
    <w:p>
      <w:r>
        <w:rPr>
          <w:b/>
        </w:rPr>
        <w:t>E. 3</w:t>
      </w:r>
    </w:p>
    <w:p>
      <w:r>
        <w:t>Il s'ensuit que le recours est irrecevable. Le recourant, qui succombe, supportera les frais judiciaires ( art. 65 et 66 al. 1 LTF ). L'intimée, qui a été invitée à se déterminer et a procédé avec l'aide d'un mandataire, a droit à des dépens, à la charge du recourant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