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1B_183/2020 vom 5. Mai 2020</w:t>
      </w:r>
    </w:p>
    <w:p>
      <w:r>
        <w:t>Bundesgericht, 2020-05-05, DE</w:t>
      </w:r>
    </w:p>
    <w:p>
      <w:r>
        <w:rPr>
          <w:b/>
        </w:rPr>
        <w:t xml:space="preserve">Quelle: </w:t>
      </w:r>
      <w:r>
        <w:t>https://mcp.opencaselaw.ch/entscheid/bger_1B_183_2020</w:t>
      </w:r>
    </w:p>
    <w:p>
      <w:r>
        <w:t>FR: TF 1B_183/2020 du 5 mai 2020</w:t>
      </w:r>
    </w:p>
    <w:p>
      <w:r>
        <w:t>IT: TF 1B_183/2020 del 5 maggio 2020</w:t>
      </w:r>
    </w:p>
    <w:p>
      <w:pPr>
        <w:pStyle w:val="Heading2"/>
      </w:pPr>
      <w:r>
        <w:t>Erwägungen</w:t>
      </w:r>
    </w:p>
    <w:p>
      <w:r>
        <w:rPr>
          <w:b/>
        </w:rPr>
        <w:t>E. 1</w:t>
      </w:r>
    </w:p>
    <w:p>
      <w:r>
        <w:t>Gegenstand des angefochtenen Entscheides ist ein letztinstanzlicher kantonaler Entscheid betreffend Abweisung eines Haftentlassungsgesuches und Anordnung von Sicherheitshaft nach vorbestehender Untersuchungshaft ( Art. 80 Abs. 2 BGG i.V.m. Art. 228 und Art. 229 Abs. 1 StPO ). Auch die übrigen Sachurteilsvoraussetzungen von Art. 78 ff. BGG sind erfüllt.</w:t>
      </w:r>
    </w:p>
    <w:p>
      <w:r>
        <w:rPr>
          <w:b/>
        </w:rPr>
        <w:t>E. 2</w:t>
      </w:r>
    </w:p>
    <w:p>
      <w:r>
        <w:t>Der Beschwerdeführer bestreitet vor Bundesgericht den in der Anklageschrift dargelegten dringenden Tatverdacht von Verbrechen und Vergehen (Art. 221 Abs. 1 Ingress StPO) nicht. Er wendet sich jedoch gegen die Annahme des besonderen Haftgrundes der Fluchtgefahr ( Art. 221 Abs. 1 lit. a StPO ). Im Eventualstandpunkt macht er geltend, das Obergericht habe jedenfalls Bundesrecht verletzt, indem es nicht (wenigstens) mildere Ersatzmassnahmen anstelle von Haft angeordnet habe. In diesem Zusammenhang rügt der Beschwerdeführer auch eine Verletzung der richterlichen Begründungspflicht.</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 123 I 31 E. 3d S. 36 f.; 268 E. 2e S. 271-273).</w:t>
      </w:r>
    </w:p>
    <w:p>
      <w:r>
        <w:t>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S. 167 mit Hinweis). Anklageerhebungen oder gerichtliche Verurteilungen können allerdings, je nach den Umständen des Einzelfalls, im Verlaufe des Verfahrens auch neue Fluchtanreize auslösen (vgl. BGE 145 IV 503 E. 2.2 S. 507; 143 IV 160 E. 4.1 S. 165).</w:t>
      </w:r>
    </w:p>
    <w:p>
      <w:r>
        <w:rPr>
          <w:b/>
        </w:rPr>
        <w:t>E. 2.2</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So vermag eine blosse Pass- und Schriftensperre oder die Verpflichtung, sich regelmässig bei der Polizei zu melden, eine erhebliche Fluchtneigung oft nicht ausreichend zu bannen ( BGE 145 IV 503 E. 3.2-3.3 S. 510-512; Urteile 1B_55/2020 vom 21. Februar 2020 E. 2.3; 1B_443/2016 vom 12. Dezember 2016 E. 2.3; je mit Hinweisen).</w:t>
      </w:r>
    </w:p>
    <w:p>
      <w:r>
        <w:rPr>
          <w:b/>
        </w:rPr>
        <w:t>E. 2.3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2.4</w:t>
      </w:r>
    </w:p>
    <w:p>
      <w:r>
        <w:t>Der Beschwerdeführer rügt, die von den kantonalen Instanzen genannten Anhaltspunkte für eine angebliche Fluchtgefahr seien "rein theoretischer Natur".</w:t>
      </w:r>
    </w:p>
    <w:p>
      <w:r>
        <w:rPr>
          <w:b/>
        </w:rPr>
        <w:t>E. 2.5</w:t>
      </w:r>
    </w:p>
    <w:p>
      <w:r>
        <w:t>Das Obergericht erwägt im angefochtenen Entscheid Folgendes: Der 39 Jahre alte Beschwerdeführer stamme ursprünglich aus Sri Lanka. Er sei in der Schweiz "nicht integriert" und verfüge hier über "keine intensiveren sozialen Kontakte". Er habe Fr. 100'000.-- Schulden und gehe keiner Arbeit nach. Er sei IV-Rentner und werde zudem vom Sozialdienst unterstützt. Seine Behauptung, sein Gesundheitszustand bzw. sein "Krankheitsbild" verunmögliche eine Flucht ins Ausland, erscheine nicht ausreichend belegt. Ausserdem sei zu berücksichtigen, dass er auch im Inland "untertauchen" könnte. Es drohten ihm sodann empfindliche Freiheitsstrafen und die Landesverweisung. In einem separaten Strafverfahren habe ihn das Bezirksgericht Bülach am 10. Dezember 2019 bereits (erstinstanzlich) zu einer unbedingten Freiheitsstrafe von 16 Monaten (unter Anrechnung von 407 Tagen erstandener strafprozessualer Haft), einer Busse von Fr. 2'500.-- und einer Landesverweisung für die Dauer von acht Jahren verurteilt. In der vorliegenden vor dem Bezirksgericht Zürich anhängigen Strafsache habe die Staatsanwaltschaft (in ihrer Anklageschrift vom 12. Februar 2020) eine weitere unbedingte Freiheitsstrafe von 15 Monaten und eine Landesverweisung für fünf Jahre beantragt.</w:t>
      </w:r>
    </w:p>
    <w:p>
      <w:r>
        <w:t>Zwar sei der Einwand des Beschwerdeführers mitzuberücksichtigen, er habe sich in früheren Verfahren stets zur Verfügung gehalten und sei bisher weder untergetaucht noch geflüchtet. Anderseits habe sich die Situation unterdessen geändert. Nicht nur sei er am 10. Dezember 2019 zu einer unbedingten Freiheitsstrafe und einer Landesverweisung für die Dauer von acht Jahren gerichtlich verurteilt worden. Aufgrund der im Februar 2020 zusätzlich erfolgten Anklage habe sich für ihn auch noch das Risiko eines weiteren empfindlichen Strafvollzuges und des Vollzuges einer mehrjährigen Landesverweisung weiter konkretisiert. Insofern hätten die Fluchtanreize eher zugenommen. Hinzu komme, dass der Beschwerdeführer am 10. Februar 2020 gegenüber einem Aufseher im Haftvollzug tätlich geworden sei, indem er diesem ein Glas mit heissem Wasser ins Gesicht geschüttet habe. Schon vor diesem Vorfall habe er Aufsichtspersonen bespuckt und mit Gegenständen nach ihnen geworfen. Daraus lasse sich nach Ansicht der Vorinstanz auf eine gewisse "Aggravationstendenz" schliessen. Insgesamt bestünden derzeit erhebliche Anzeichen für eine mögliche Flucht (vgl. angefochtener Entscheid, E. II/5.3-5.4, S. 10-11).</w:t>
      </w:r>
    </w:p>
    <w:p>
      <w:r>
        <w:rPr>
          <w:b/>
        </w:rPr>
        <w:t>E. 2.6</w:t>
      </w:r>
    </w:p>
    <w:p>
      <w:r>
        <w:t>Was der Beschwerdeführer dagegen einwendet, lässt die Annahme von konkreten Anhaltspunkten für eine mögliche Flucht, worunter auch ein vorübergehendes "Untertauchen" in der Schweiz fallen könnte, nicht als bundesrechtswidrig erscheinen. Dies gilt namentlich für seine Vorbringen, er sei vorübergehend "immer wieder aus der Haft entlassen" worden und zum Vornherein gar nicht fähig, "eine Flucht oder ein Untertauchen zu organisieren und auszuführen", oder er sei vor ca. 20 Jahren in seinem Heimatland gefoltert worden. Zwar macht er insbesondere noch geltend, er sei verbeiständeter IV-Rentner und wolle auf die Sozialversicherungs- und Sozialhilfeleistungen der Schweiz auf keinen Fall verzichten. Inwiefern er seinen IV-Rentenanspruch "bei einer Flucht selbstverständlich verlieren" würde, legt er jedoch nicht nachvollziehbar dar.</w:t>
      </w:r>
    </w:p>
    <w:p>
      <w:r>
        <w:t>Die kantonalen Strafbehörden haben kein Bundesrecht verletzt, indem sie die dem Beschwerdeführer (nach einer weiteren Anklageerhebung) drohende empfindliche Freiheitsstrafe, die drohende rechtskräftige Verurteilung in einem separaten Berufungsverfahren, die möglichen ausländerrechtlichen Zwangsmassnahmen im Hinblick auf eine allfällige Landesverweisung und weitere konkrete Gesichtspunkte (schwache soziale Integration in der Schweiz, Schulden, konkrete Anzeichen für sprunghaft-aggressive Verhaltensweisen im Haftvollzug usw.) im derzeitigen Verfahrensstadium als insgesamt erhebliche Anhaltspunkte für Fluchtgefahr eingestuft haben. In diesem Zusammenhang sind auch keine willkürlichen Tatsachenfeststellungen der Vorinstanz ersichtlich. Insbesondere wird in der Beschwerdeschrift nicht dargetan, inwiefern die Bezugnahmen der Vorinstanz auf die Haftvollzugsakten offensichtlich unrichtig oder aktenwidrig wären.</w:t>
      </w:r>
    </w:p>
    <w:p>
      <w:r>
        <w:rPr>
          <w:b/>
        </w:rPr>
        <w:t>E. 2.7</w:t>
      </w:r>
    </w:p>
    <w:p>
      <w:r>
        <w:t>Zur im Eventualstandpunkt beantragten Haftentlassung gegen Ersatzmassnahmen bringt der Beschwerdeführer vor, er werde sich an entsprechende Gebote und Verbote halten. Er habe denn auch "bereits regelmässigen Behördenkontakt". Damit könne bei ihm "ohne Weiteres davon ausgegangen werden, dass eine Meldepflicht befolgt würde".</w:t>
      </w:r>
    </w:p>
    <w:p>
      <w:r>
        <w:t>Nach der Praxis des Bundesgerichtes vermag eine blosse Pass- und Schriftensperre oder die Verpflichtung, sich regelmässig bei der Polizei zu melden, eine erhebliche Fluchtgefahr in der Regel nicht ausreichend zu bannen ( BGE 145 IV 503 E. 3.2-3.3 S. 510-512; Urteile 1B_125/2020 vom 26. März 2020 E. 3.7; 1B_55/2020 vom 21. Februar 2020 E. 2.3; je mit Hinweisen). Die Vorinstanz hat erwogen, es seien im vorliegenden Fall "keine tauglichen Ersatzmassnahmen erkennbar". Der Beschwerdeführer weise bereits "unzählige Vorstrafen" auf. Laut Anklage habe er selbst während laufenden Strafuntersuchungen noch weiter delinquiert. Im Haftvollzug habe er sich unkooperativ und tendenziell gewaltbereit gezeigt. Damit habe er nicht den Eindruck erweckt, dass er sich derzeit an Abmachungen oder gesetzliche Regeln halten werde (angefochtener Entscheid, E. II/8.3, S. 16).</w:t>
      </w:r>
    </w:p>
    <w:p>
      <w:r>
        <w:t>Dass die kantonalen Haftgerichte hier blosse Ersatzmassnahmen für Haft im gegenwärtigen Verfahrensstadium als nicht ausreichend beurteilen, um der dargelegten erheblichen Fluchtgefahr wirksam zu begegnen, hält angesichts der erwähnten Umstände vor dem Bundesrecht stand.</w:t>
      </w:r>
    </w:p>
    <w:p>
      <w:r>
        <w:rPr>
          <w:b/>
        </w:rPr>
        <w:t>E. 2.8</w:t>
      </w:r>
    </w:p>
    <w:p>
      <w:r>
        <w:t>Beiläufig rügt der Beschwerdeführer auch noch eine Verletzung der richterlichen Begründungspflicht bzw. des rechtlichen Gehörs ( Art. 29 Abs. 1 BV ).</w:t>
      </w:r>
    </w:p>
    <w:p>
      <w:r>
        <w:t>Die prozessuale Rüge erweist sich ebenfalls als unbegründet. Der Vorwurf, die Vorinstanz habe sich mit der finanziellen Situation des Beschwerdeführers bzw. seinem IV-Rentenanspruch "in keiner Weise auseinandergesetzt" und diese Aspekte "vollkommen ausser Acht gelassen", findet im angefochtenen Entscheid keine Stütze (vgl. dazu oben, E. 2.5). Diesem lassen sich die wesentlichen Argumente entnehmen, weshalb das Obergericht den Haftgrund der Fluchtgefahr bejahte und blosse Ersatzmassnahmen für Sicherheitshaft als derzeit nicht ausreichend einstufte (vgl. oben, E. 2.5 und 2.7). Die Vorinstanz brauchte sich dabei von Verfassungs wegen nicht mit sämtlichen Vorbringen des Beschwerdeführers ausdrücklich und im einzelnen auseinanderzusetzen. Er legt auch nicht dar, inwiefern die Begründung des Haftbeschwerdeentscheides es ihm verunmöglicht hätte, den Rechtsweg ans Bundesgericht wirksam zu beschreiten. Ebenso wenig lässt der Umstand, dass die Vorinstanz seiner Argumentation materiell nicht gefolgt ist, eine Verletzung des rechtlichen Gehörs erkennen.</w:t>
      </w:r>
    </w:p>
    <w:p>
      <w:r>
        <w:rPr>
          <w:b/>
        </w:rPr>
        <w:t>E. 3</w:t>
      </w:r>
    </w:p>
    <w:p>
      <w:r>
        <w:t>Die Beschwerde ist als unbegründet abzuweisen.</w:t>
      </w:r>
    </w:p>
    <w:p>
      <w:r>
        <w:t>Der Beschwerdeführer stellt ein Gesuch um unentgeltliche Rechtspflege. Da die gesetzlichen Voraussetzungen erfüllt sind (und insbesondere die finanzielle Bedürftigkeit des amtlich verteidigten Beschwerdeführers ausreichend glaubhaft gemacht wird), ist das Gesuch zu bewilligen ( Art. 64 BGG ). Die "Proformarechnung" seiner Rechtsvertreterin basiert auf dem anwaltlichen Tarif für Parteientschädigungen. Da dem Beschwerdeführer keine Parteientschädigung ( Art. 68 BGG ) zugesprochen, sondern die unentgeltliche Rechtsverbeiständung ( Art. 64 Abs. 2 BGG ) bewilligt wird, ist das Honorar der amtlichen Rechtsvertreterin nach den diesbezüglichen gesetzlichen Bestimmungen zu bemessen (Art. 10 und 12 i.V.m. Art. 6 des Reglementes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