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183/2016 vom 23. Mai 2016</w:t>
      </w:r>
    </w:p>
    <w:p>
      <w:r>
        <w:t>Bundesgericht, 2016-05-23, IT</w:t>
      </w:r>
    </w:p>
    <w:p>
      <w:r>
        <w:rPr>
          <w:b/>
        </w:rPr>
        <w:t xml:space="preserve">Quelle: </w:t>
      </w:r>
      <w:r>
        <w:t>https://mcp.opencaselaw.ch/entscheid/bger_1B_183_2016</w:t>
      </w:r>
    </w:p>
    <w:p>
      <w:r>
        <w:t>FR: TF 1B 183/2016 du 23 mai 2016</w:t>
      </w:r>
    </w:p>
    <w:p>
      <w:r>
        <w:t>IT: TF 1B 183/2016 del 23 maggio 2016</w:t>
      </w:r>
    </w:p>
    <w:p>
      <w:pPr>
        <w:pStyle w:val="Heading2"/>
      </w:pPr>
      <w:r>
        <w:t>Regeste</w:t>
      </w:r>
    </w:p>
    <w:p>
      <w:r>
        <w:t>detenzione; scarcerazione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 e, per conoscenza, al suo avvocato d'ufficio, al Ministero pubblico e al Tribunale d'appello del Cantone di Basilea Città. Losanna, 23 maggio 2016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