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1B_183/2013 vom 29. Mai 2013</w:t>
      </w:r>
    </w:p>
    <w:p>
      <w:r>
        <w:t>Bundesgericht, 2013-05-29, FR</w:t>
      </w:r>
    </w:p>
    <w:p>
      <w:r>
        <w:rPr>
          <w:b/>
        </w:rPr>
        <w:t xml:space="preserve">Quelle: </w:t>
      </w:r>
      <w:r>
        <w:t>https://mcp.opencaselaw.ch/entscheid/bger_1B_183_2013</w:t>
      </w:r>
    </w:p>
    <w:p>
      <w:r>
        <w:t>FR: TF 1B_183/2013 du 29 mai 2013</w:t>
      </w:r>
    </w:p>
    <w:p>
      <w:r>
        <w:t>IT: TF 1B_183/2013 del 29 maggio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w:t>
      </w:r>
    </w:p>
    <w:p>
      <w:r>
        <w:rPr>
          <w:b/>
        </w:rPr>
        <w:t>E. 1.1</w:t>
      </w:r>
    </w:p>
    <w:p>
      <w:r>
        <w:t>Le recours est formé en temps utile ( art. 100 al. 1 LTF ) contre une décision prise en dernière instance cantonale ( art. 80 LTF ).</w:t>
      </w:r>
    </w:p>
    <w:p>
      <w:r>
        <w:rPr>
          <w:b/>
        </w:rPr>
        <w:t>E. 1.2</w:t>
      </w:r>
    </w:p>
    <w:p>
      <w:r>
        <w:t>Selon l' art. 81 al. 1 let. b LTF , a qualité pour recourir, quiconque dispose d'un intérêt juridique à l'annulation ou à la modification de la décision attaquée. Cet intérêt doit en outre être actuel. En l'occurrence, le recourant fait l'objet d'une décision d'extradition à la France contre laquelle il a recouru au Tribunal fédéral. En cas d'admission du présent recours, il devrait demeurer détenu pour les besoins de la procédure d'extradition. Toutefois, le recourant se trouve actuellement détenu pour les seuls besoins de l'instruction pénale, et il dispose d'un intérêt à ce qu'il soit statué sur la validité de ce titre de détention. Un éventuel mandat d'arrêt extraditionnel ne serait d'ailleurs pas exécutoire tant que dure la détention provisoire (art. 49 al. 2 de la loi fédérale sur l'entraide internationale en matière pénale - EIMP, RS 351.1). Le recours est par conséquent recevable.</w:t>
      </w:r>
    </w:p>
    <w:p>
      <w:r>
        <w:rPr>
          <w:b/>
        </w:rPr>
        <w:t>E. 2</w:t>
      </w:r>
    </w:p>
    <w:p>
      <w:r>
        <w:t>Le recourant se plaint d'une violation de l' art. 221 al. 1 CPP . Il estime qu'à ce stade, les soupçons ne seraient pas suffisants pour justifier son maintien en détention. Les seuls éléments qui le mettent en cause seraient les traces ADN trouvées dans le véhicule ayant servi au braquage, ce qui s'expliquerait pas le fait que le recourant avait volé ce véhicule et l'avait revendu aux auteurs de l'attaque. Après seize mois d'enquête, rien ne serait venu renforcer ces éléments: les traces ADN ne pouvaient pas être datées précisément; B.________ avait affirmé que le recourant n'avait pas participé au braquage; les rétroactifs de téléphones n'avait fait apparaître aucun lien avec les autres suspects; d'autres témoignages apporteraient des éléments à la décharge du recourant.</w:t>
      </w:r>
    </w:p>
    <w:p>
      <w:r>
        <w:rPr>
          <w:b/>
        </w:rPr>
        <w:t>E. 2.1</w:t>
      </w:r>
    </w:p>
    <w:p>
      <w:r>
        <w:t>Selon l' art. 221 CPP , la détention provisoire ne peut être ordonnée que lorsque le prévenu est fortement soupçonné d'avoir commis un crime ou un délit, ce qui correspond à la notion de soupçons plausibles de l' art. 5 par. 1 let . c CEDH.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w:t>
      </w:r>
    </w:p>
    <w:p>
      <w:r>
        <w:t>Selon la jurisprudence,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Le recourant a été mis en cause après la découverte de traces ADN dans la voiture utilisée et abandonnée par les auteurs après l'attaque du bureau de change. Le recourant prétend avoir vendu ce véhicule aux auteurs du braquage; il aurait, dans un premier temps et sans être formel, identifié B.________ comme accompagnant de l'acheteur. On ne saurait toutefois exclure, en l'état de l'instruction, que le recourant ait utilisé le véhicule au moment de l'attaque, voire qu'il l'ait simplement mis à disposition des assaillants, ce qui constitue dans les deux cas un acte de participation punissable. Le recourant ne fournit aucun élément susceptible de le mettre clairement hors de cause sur ce point. Il ne conteste par ailleurs pas la commission des deux cambriolages. Les charges apparaissent dès lors suffisantes. Il y a lieu de relever que les autorités françaises ont jusqu'ici refusé d'organiser une confrontation entre les différents prévenus, malgré la demande de l'autorité d'instruction. On ne saurait dès lors reprocher au Ministère public de tarder ou de refuser de procéder à des actes d'enquête importants.</w:t>
      </w:r>
    </w:p>
    <w:p>
      <w:r>
        <w:rPr>
          <w:b/>
        </w:rPr>
        <w:t>E. 2.3</w:t>
      </w:r>
    </w:p>
    <w:p>
      <w:r>
        <w:t>Le recourant invoque en vain le principe de la proportionnalité; il considère en effet que les charges devraient être limitées aux deux cambriolages, mais, comme cela est relevé ci-dessus, elles s'étendent aussi à une possible participation à l'attaque du bureau de change, soit un brigandage aggravé avec utilisation d'explosifs et une tentative d'homicide notamment. La durée de la détention ne saurait dès lors être qualifiée d'excessive au regard de l'ensemble des charges.</w:t>
      </w:r>
    </w:p>
    <w:p>
      <w:r>
        <w:rPr>
          <w:b/>
        </w:rPr>
        <w:t>E. 3</w:t>
      </w:r>
    </w:p>
    <w:p>
      <w:r>
        <w:t>Sur le vu de ce qui précède, le recours doit être rejeté. Le recourant a demandé l'assistance judiciaire et les conditions en sont réunies. Me Saskia Ditisheim est désignée comme avocate d'office du recourant, rétribuée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