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1B_182/2020 vom 4. Mai 2020</w:t>
      </w:r>
    </w:p>
    <w:p>
      <w:r>
        <w:t>Bundesgericht, 2020-05-04, FR</w:t>
      </w:r>
    </w:p>
    <w:p>
      <w:r>
        <w:rPr>
          <w:b/>
        </w:rPr>
        <w:t xml:space="preserve">Quelle: </w:t>
      </w:r>
      <w:r>
        <w:t>https://mcp.opencaselaw.ch/entscheid/bger_1B_182_2020</w:t>
      </w:r>
    </w:p>
    <w:p>
      <w:r>
        <w:t>FR: TF 1B_182/2020 du 4 mai 2020</w:t>
      </w:r>
    </w:p>
    <w:p>
      <w:r>
        <w:t>IT: TF 1B_182/2020 del 4 maggio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Dans la mesure où le recourant se prévaut de pièces établies postérieurement à l'ordonnance attaquée (en particulier l'attestation de son maître d'apprentissage, datée du 30 mars 2020, ainsi que le rapport d'expertise psychiatrique du 16 avril 2020), les faits en découlant ne sauraient être pris en considération à ce stade en vertu de l' art. 99 al. 1 LTF . Le cas échéant, il appartiendra au juge de la détention d'en tenir compte dans ses décisions ultérieures.</w:t>
      </w:r>
    </w:p>
    <w:p>
      <w:r>
        <w:rPr>
          <w:b/>
        </w:rPr>
        <w:t>E. 3</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4</w:t>
      </w:r>
    </w:p>
    <w:p>
      <w:r>
        <w:t>Le recourant ne revient pas en tant que telle sur l'existence de forts soupçons de culpabilité portant sur les infractions en cause, à savoir celles d'actes d'ordre sexuel avec des enfants ( art. 187 ch. 1 CP ) et de pornographie ( art. 197 al. 1 CP ).</w:t>
      </w:r>
    </w:p>
    <w:p>
      <w:r>
        <w:t>A cet égard, la cour cantonale a considéré, sans que cela ne soit critiquable, que les déclarations détaillées et constantes des victimes présumées, toutes âgées de 13 ans au moment des faits, constituaient en l'espèce des indices suffisants qui pouvaient être pris en considération, même s'il n'appartenait pas au juge de la détention de procéder à une pesée complète des éléments à charge et à décharge, ni d'apprécier la crédibilité des personnes qui mettaient en cause le prévenu (cf. ATF 143 IV 330 consid. 2.1 p. 333 s.; 143 IV 316 consid. 3.1 et 3.2 p. 318 s.). Ces déclarations n'apparaissaient en outre pas d'emblée invraisemblables, se recoupaient entre elles et trouvaient appui notamment sur les aveux partiels du recourant (cf. ordonnance entreprise, consid. 3.2 p. 10).</w:t>
      </w:r>
    </w:p>
    <w:p>
      <w:r>
        <w:rPr>
          <w:b/>
        </w:rPr>
        <w:t>E. 5</w:t>
      </w:r>
    </w:p>
    <w:p>
      <w:r>
        <w:t>Le recourant conteste l'existence d'un risque de récidive. Il fait valoir que les infractions reprochées ne sont pas suffisamment graves, en l'absence d'antécédents, pour qu'un tel risque puisse être retenu.</w:t>
      </w:r>
    </w:p>
    <w:p>
      <w:r>
        <w:rPr>
          <w:b/>
        </w:rPr>
        <w:t>E. 5.1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Le risque de récidive peut également se fonder sur les infractions faisant l'objet de la procédure pénale en cours, si le prévenu est fortement soupçonné - avec une probabilité confinant à la certitude - de les avoir commises ( ATF 143 IV 9 consid. 2.3.1 p. 12 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 arrêt 1B_470/2019 du 16 octobre 2019 consid. 2.1).</w:t>
      </w:r>
    </w:p>
    <w:p>
      <w:r>
        <w:rPr>
          <w:b/>
        </w:rPr>
        <w:t>E. 5.2</w:t>
      </w:r>
    </w:p>
    <w:p>
      <w:r>
        <w:t>Pour justifier la gravité insuffisante des actes qui lui sont reprochés, le recourant soutient qu'au vu de la différence d'âge (18 ans pour le recourant, 13 ans pour les victimes) et s'agissant en l'espèce " d'amours de jeunesse ", il peut se prévaloir de circonstances particulières en application de l' art. 187 ch. 3 CP .</w:t>
      </w:r>
    </w:p>
    <w:p>
      <w:r>
        <w:t>Si la jurisprudence admet certes que la notion de circonstances particulières au sens de la disposition précitée doit être interprétée de manière large (cf. arrêt 6B_485/2016 du 17 août 2016 consid. 1.2; cf. toutefois les critiques à cet égard: ELOI JEANNERAT, Quelle (dé-) pénalisation des amours juvéniles par la justice?, in: ex ante 1/2017, p. 50 ss, spéc. p. 53 s.), le déroulement des faits décrits dans l'ordonnance attaquée, en particulier eu égard à l'enchaînement des brèves liaisons entretenues avec au moins trois des quatre jeunes filles, ne plaide pas d'emblée en faveur de relations véritablement empreintes d'un attachement ou d'une affection réciproque, mais laisse supposer que le recourant pourrait avoir profité d'une certaine rivalité entre elles pour tenter de satisfaire ses désirs sexuels. On relève du reste que le recourant ne prétend pas qu'il se serait trompé sur l'âge des victimes (cf. art. 13 al. 1 et 187 ch. 4 CP ), pas plus qu'il ne semble en l'état avoir exprimé de regrets pour ses actes, dont le caractère d'ordre sexuel apparaît évident, en particulier s'agissant d'une fellation ainsi que de caresses insistantes sur les parties intimes et les seins. Il convient encore à cet égard de prendre en considération les photographies de nus échangées entre les protagonistes.</w:t>
      </w:r>
    </w:p>
    <w:p>
      <w:r>
        <w:rPr>
          <w:b/>
        </w:rPr>
        <w:t>E. 5.3</w:t>
      </w:r>
    </w:p>
    <w:p>
      <w:r>
        <w:t>Il peut dès lors être admis avec la cour cantonale que, même en l'absence d'antécédents, les actes reprochés au recourant, qui est fortement soupçonné de s'en être pris de manière répétée à l'intégrité sexuelle de quatre filles de 13 ans, en l'espace d'environ trois mois, revêtaient encore une gravité suffisante, eu égard aussi à la peine-menace prévue par l' art. 187 ch. 1 CP , pour qu'un risque de récidive puisse être pris en considération. A cet égard, il peut également être admis que, dans l'attente des premières conclusions de l'expertise psychiatrique, la nature du bien juridique protégé ainsi que la crainte d'une possible gradation dans les agissements, fréquents, du recourant commandaient d'observer une prudence particulière au moment d'établir un pronostic de récidive (cf. ordonnance entrepris, consid. 4.2 p. 13).</w:t>
      </w:r>
    </w:p>
    <w:p>
      <w:r>
        <w:t>Pour autant en l'espèce, l'intensité du risque retenu ne permet pas de justifier le maintien du recourant en détention provisoire, dès lors que la mise en place de mesures de substitution constitue, comme relevé ci-après, des garanties suffisantes pour préserver la sécurité d'autrui.</w:t>
      </w:r>
    </w:p>
    <w:p>
      <w:r>
        <w:rPr>
          <w:b/>
        </w:rPr>
        <w:t>E. 6.1</w:t>
      </w:r>
    </w:p>
    <w:p>
      <w:r>
        <w:t>Le principe de proportionnalité impose en effet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et l'obligation de se soumettre à un traitement médical ou à des contrôles (let. f). Cette liste est exemplative et le juge de la détention peut également, le cas échéant, assortir les mesures de substitution de toute condition propre à en garantir l'efficacité ( ATF 142 IV 367 consid. 2.1 p. 370).</w:t>
      </w:r>
    </w:p>
    <w:p>
      <w:r>
        <w:rPr>
          <w:b/>
        </w:rPr>
        <w:t>E. 6.2</w:t>
      </w:r>
    </w:p>
    <w:p>
      <w:r>
        <w:t>La cour cantonale a estimé que les mesures de substitution proposées par le recourant - sous la forme d'une obligation de poursuivre son apprentissage, d'une interdiction de périmètre et de contact avec les victimes, d'une assignation à résidence et d'une surveillance électronique - étaient inaptes à prévenir des agissements à l'endroit de tierces personnes (cf. ordonnance entreprise, consid. 5 p. 13).</w:t>
      </w:r>
    </w:p>
    <w:p>
      <w:r>
        <w:t>Cette appréciation ne saurait être partagée. Il ne ressort ainsi pas de l'ordonnance entreprise que le recourant pourrait avoir été en contact rapproché avec d'autres personnes mineures que les jeunes filles qui l'avaient dénoncé, ni que les photographies de nus pourraient avoir été transmises à un autre destinataire que celui initialement prévu. Cela étant, si les agissements en cause sont certes graves compte tenu de leur fréquence et de la nature du bien juridique menacé, ils ne paraissent pas relever, à défaut de violences caractérisées, d'un comportement de prédateur sexuel, mais bien plutôt d'une immaturité sur le plan affectif et d'une certaine naïveté quant aux relations entretenues avec les intéressées.</w:t>
      </w:r>
    </w:p>
    <w:p>
      <w:r>
        <w:t>La cour cantonale ne fait par ailleurs état d'aucun élément permettant de supposer que le recourant ne serait pas prêt à se soumettre aux restrictions qui lui seraient imposées, alors qu'il n'a pas d'antécédent et que les témoignages recueillis sont largement rassurants quant à son comportement dans le cadre familial et professionnel, le témoin G.________, son maître d'apprentissage, l'ayant notamment décrit comme une personne " exemplaire ", qui " ne bouge pas d'une oreille " et qui présente de bons résultats scolaires (cf. procès-verbal de l'audition de G.________ du 4 février 2020, p. 2; dossier cantonal; P. 145). Il faut à cet égard prendre en considération que, selon ce témoin, le maintien en détention pourrait induire une résiliation de son contrat d'apprentissage et un risque d'échec dans son cursus en vue de l'obtention d'un CFC d'installateur-électricien, pour lequel il est en troisième année (cf. ibidem), ce qui est pour le moins inopportun au regard du jeune âge du recourant et de ses perspectives d'avenir.</w:t>
      </w:r>
    </w:p>
    <w:p>
      <w:r>
        <w:t>Dans ce contexte, il faut admettre que, sous réserve des conclusions qui pourraient ressortir de l'expertise psychiatrique, le prononcé de mesures de substitution - qui pourraient prendre la forme de celles proposées par le recourant - est suffisamment apte à préserver la sécurité d'autrui et ainsi réduire le risque de récidive retenu.</w:t>
      </w:r>
    </w:p>
    <w:p>
      <w:r>
        <w:rPr>
          <w:b/>
        </w:rPr>
        <w:t>E. 6.3</w:t>
      </w:r>
    </w:p>
    <w:p>
      <w:r>
        <w:t>Il n'appartient pas au Tribunal fédéral d'ordonner en première instance et sans autre débat les mesures de substitution précisément adéquates dans le cas d'espèce (arrêts 1B_112/2020 du 20 mars 2002 consid. 4.3; 1B_108/2018 du 28 mars 2018 consid. 3.4), ce d'autant moins que la cour cantonale doit encore déterminer si le maintien en détention se justifie néanmoins en raison du risque de collusion retenu par le Tmc dans son ordonnance du 24 février 2020, et contesté par le recourant dans son recours cantonal.</w:t>
      </w:r>
    </w:p>
    <w:p>
      <w:r>
        <w:t>Il convient dès lors de renvoyer la cause à l'instance précédente pour qu'à bref délai, elle se prononce sur le maintien de la détention provisoire et, le cas échéant, qu'elle détermine, au regard des considérations qui précèdent, les mesures de substitution adéquates pour réduire le risque de récidive.</w:t>
      </w:r>
    </w:p>
    <w:p>
      <w:r>
        <w:rPr>
          <w:b/>
        </w:rPr>
        <w:t>E. 7</w:t>
      </w:r>
    </w:p>
    <w:p>
      <w:r>
        <w:t>Le recours est par conséquent admis. L'arrêt attaqué est annulé et la cause est renvoyée à l'autorité précédente pour qu'elle procède au sens des considérants. Le recourant, qui obtient gain de cause avec l'assistance d'un mandataire professionnel, a droit à des dépens à la charge du canton de Valais ( art. 68 al. 1 LTF ). La demande d'assistance judiciaire est sans objet.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