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182/2018 vom 8. Mai 2018</w:t>
      </w:r>
    </w:p>
    <w:p>
      <w:r>
        <w:t>Bundesgericht, 2018-05-08, DE</w:t>
      </w:r>
    </w:p>
    <w:p>
      <w:r>
        <w:rPr>
          <w:b/>
        </w:rPr>
        <w:t xml:space="preserve">Quelle: </w:t>
      </w:r>
      <w:r>
        <w:t>https://mcp.opencaselaw.ch/entscheid/bger_1B_182_2018</w:t>
      </w:r>
    </w:p>
    <w:p>
      <w:r>
        <w:t>FR: TF 1B 182/2018 du 8 mai 2018</w:t>
      </w:r>
    </w:p>
    <w:p>
      <w:r>
        <w:t>IT: TF 1B 182/2018 del 8 maggio 2018</w:t>
      </w:r>
    </w:p>
    <w:p>
      <w:pPr>
        <w:pStyle w:val="Heading2"/>
      </w:pPr>
      <w:r>
        <w:t>Regeste</w:t>
      </w:r>
    </w:p>
    <w:p>
      <w:r>
        <w:t>Strafverfahren; Besetzung der 2. Strafkammer im Verfahren SK 17 240 | Zuständigkeitsfragen, Garantie des Wohnsitzrichters und des v...</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 BGE 141 IV 1 E. 1.1 S. 5; 138 IV 78 E. 1.3 S. 80; Urteil 6B_1039/2017 vom 13. März 2018 E. 1.2.2; je mit Hinweisen). Auf sein Rechtsmittel ist einzutreten.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In diesem Zusammenhang sei auch zu berücksichtigen, dass die Bundesrichter nur für eine relativ kurze Amtszeit von sechs Jahren gewählt würden und damit verstärkt politischem Druck ausgesetzt seien.</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Das gilt auch für den Hinweis auf die Amtsdauer (vgl. dazu BGE 143 I 211 E. 3 S. 212 ff. mit Hinweisen). Die Rüge der Verletzung von Art. 6 EMRK ist unbegründet, und der Spruchkörper ist in der dargestellten üblichen Weise zu besetzen.</w:t>
      </w:r>
    </w:p>
    <w:p>
      <w:r>
        <w:rPr>
          <w:b/>
        </w:rPr>
        <w:t>E. 3.1</w:t>
      </w:r>
    </w:p>
    <w:p>
      <w:r>
        <w:t>Der Beschwerdeführer kritisiert, dass die Vorinstanz auf sein Gesuch teilweise nicht eingetreten sei, widerspreche Art. 18 Abs. 4 des Einführungsgesetzes vom 11. Juni 2009 zur Zivilprozessordnung, zur Strafprozessordnung und zur Jugendstrafprozessordnung (EG ZSJ; BSG 271.1). Dies verletze Art. 6 EMRK .</w:t>
      </w:r>
    </w:p>
    <w:p>
      <w:r>
        <w:rPr>
          <w:b/>
        </w:rPr>
        <w:t>E. 3.2</w:t>
      </w:r>
    </w:p>
    <w:p>
      <w:r>
        <w:t>Die Vorinstanz ist auf die Vorbringen des Beschwerdeführers insofern nicht eingetreten, als dieser die Mitglieder der Beschwerdekammer ablehnte, ohne konkret darzutun, weshalb der Anschein der Befangenheit gegeben sei.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Der Beschwerdeführer macht denn auch keine Verletzung der Begründungspflicht geltend. Art. 18 Abs. 4 EG ZSJ sieht vor, dass über die Ablehnung eines Spruchkörpers des Obergerichts in der Mehrheit oder Gesamtheit seiner Mitglieder ein ersatzweise gebildeter, gleich zusammengesetzter Spruchkörper entscheidet. Inwiefern diese Bestimmung im vorinstanzlichen Verfahren missachtet und damit Art. 6 EMRK verletzt worden sein soll, ist nicht ersichtlich.</w:t>
      </w:r>
    </w:p>
    <w:p>
      <w:r>
        <w:rPr>
          <w:b/>
        </w:rPr>
        <w:t>E. 4.1</w:t>
      </w:r>
    </w:p>
    <w:p>
      <w:r>
        <w:t>Der Beschwerdeführer kritisiert im Wesentlichen,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und wenn ein Geschäftsverteilungsplan nicht publiziert werde. Die Verwendung einer Tabelle für die Geschäftsverteilung sei gesetzlich nicht vorgesehen. Der Mangel einer hinreichenden gesetzlichen Grundlage betreffe auch den Einsatz der Oberrichter Niklaus, Geiser und Aebi im Ausstandsverfahren sowie den Beizug der Obergerichtssuppleantin und deren Einsetzung als Vorsitzende. Zudem sei es entgegen der Auffassung der Vorinstanz nicht ausreichend, wenn die für die Spruchkörperbesetzung in Frage kommenden Richter aus einer öffentlich zugänglichen Quelle hervorgingen. Der EGMR habe einen Verstoss gegen Art. 6 EMRK festgestellt, weil die Namen der am Entscheid beteiligten Personen dem Beschwerdeführer nicht bekannt gegeben worden waren (Urteil des EGMR Vernes gegen Frankreich vom 20. Januar 2011, Nr. 30183/06, §§ 38-44).</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 Art. 44 Abteilungspräsidentin oder Abteilungspräsident 1 Die Abteilungspräsidentin oder der Abteilungspräsident führt die Abteilung und ist verantwortlich für die Fallzuteilung und den Belastungsausgleich. 2 Sie oder er entscheidet über den Beizug von Ersatzrichterinnen und Ersatzrichtern. ... Art. 45 Spruchkörper 1 Die Urteilsfindung erfolgt in Dreierbesetzung, soweit das Gesetz nichts anderes bestimmt. ...</w:t>
      </w:r>
    </w:p>
    <w:p>
      <w:r>
        <w:rPr>
          <w:b/>
        </w:rPr>
        <w:t>E. 4.4</w:t>
      </w:r>
    </w:p>
    <w:p>
      <w:r>
        <w:t>Die Vorinstanz führt aus, dem Rechtsvertreter des Beschwerdeführers sei die Anwendung von Art. 44 und 45 GSOG bereits einlässlich erläutert worden. Mit Schreiben vom 25. März 2017 habe ihm der Präsident der Strafabteilung mitgeteilt, dass am Obergericht kein Geschäftsverteilungsplan nach deutschem Vorbild bestehe. Die beiden Strafkammern erhielten die eingehenden Geschäfte abwechslungsweise je zur Hälfte. Kammerintern würden die Fälle fortlaufend nach Listen mit allen möglichen Zusammensetzungen zugeteilt, wobei die Anzahl Fälle als Referent vom Umfang der Tätigkeit für die Strafkammern abhänge. Die Oberrichter seien an dieser mit Hilfe durch das Sekretariat bewirtschafteter Listen und nach dem Zufallsprinzip erfolgenden Spruchkörperbildung nicht beteiligt.</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Jene Ausführungen, welche die Spruchkörperbildung in der Beschwerdekammer zum Gegenstand hatten, gelten vorliegend, wo es um die Strafkammern geht, umso mehr, zumal die Spruchkörperbildung gemäss den Darlegungen der Vorinstanz hier nach Listen und gestützt auf das Zufallsprinzip erfolgt. Dass dieses Vorgehen Art. 44 Abs. 1 GSOG widerspricht, ist nicht ersichtlich. Nach den vorinstanzlichen Ausführungen kommt dem Sekretariat bei der Verwaltung der Listen kein Ermessen zu (vgl. Urteil 1C_187/2017 vom 20. März 2018 E. 7).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 Dies gilt auch für das Urteil des EGMR in der Sache Vernes gegen Frankreich , dessen Erwägungen sich nicht auf die vorliegende Problemstellung übertragen lassen. Die Konventionsverletzung war in jenem Verfahren darauf zurückzuführen, dass dem Betroffenen die Namen sämtlicher am Entscheid mitwirkenden Personen nicht, das heisst auch nicht nachträglich, mitgeteilt worden waren (a.a.O., §§ 38 ff.).</w:t>
      </w:r>
    </w:p>
    <w:p>
      <w:r>
        <w:rPr>
          <w:b/>
        </w:rPr>
        <w:t>E. 4.6</w:t>
      </w:r>
    </w:p>
    <w:p>
      <w:r>
        <w:t>Zum Beizug von Ersatzrichtern (Obergerichtssuppleanten) führte die Vorinstanz aus, dieser basiere gleich wie der Einsatz der ordentlichen Oberrichter auf Art. 44 und 45 GSOG. Art. 20 Abs. 6 GSOG sehe zudem vor, dass Ersatzrichter zur Entlastung eingesetzt würden. Gemäss der langjährigen Praxis teile der jeweilige Vorsitzende der Kammerpräsidentin der 2. Strafkammer den Bedarf eines Ersatzrichters mit. Nach Rücksprache mit dem Abteilungspräsidenten und in dessen Auftrag werde anschliessend von der Präsidentin der 2. Strafkammer ein Ersatzrichter bestimmt. Berücksichtigt würden dabei namentlich die Verfügbarkeit der Ersatzrichter, eine gleichmässige Verteilung der Einsätze sowie der Umstand, dass der Betreffende nicht Mitglied des Regionalgerichts sein sollte, dessen Urteil zu überprüfen sei. Durch dieses Vorgehen werde die Bestimmung des Spruchkörpers weiter objektiviert. Die Ersatzrichter würden im Übrigen wie die ordentlichen Richter gewählt und seien im Staatskalender ersichtlich. Im vorliegenden Fall sei Obergerichtssuppleantin Schwendener beigezogen worden, weil ein Oberrichter am Verhandlungstermin des 2. Februar 2018 in den Ferien gewesen sei und weil die übrigen Mitglieder der 2. Strafkammer stark mit Arbeit belastet gewesen seien. Schliesslich wirke die Entlastung am stärksten, wenn ein Ersatzrichter als Vorsitzender fungiere. Auch in dieser Hinsicht ist der angefochtene Entscheid nicht zu beanstanden. Es stellt das zentrale Wesensmerkmal des Amts des Ersatzrichters dar, dass dieser bei hoher Arbeitsbelastung zur Unterstützung beigezogen werden kann, was aus Art. 20 Abs. 6 GSOG klar hervorgeht. Gemäss dieser Bestimmung werden Ersatzrichterinnen und -richter sowie Ersatzmitglieder zur Entlastung eingesetzt. Wie bereits erwähnt, verlangen zudem weder die Bundesverfassung noch die EMRK, dass bei der Spruchkörperbesetzung jegliches Ermessen ausgeschlossen wird. Dies gilt auch für die Auswahl des beizuziehenden Ersatzrichters. Die von der Vorinstanz genannten drei Kriterien sind sachlicher Natur und beruhen gemäss den Ausführungen im angefochtenen Entscheid darüber hinaus auf einer gefestigten Praxis. Die Spruchkörperbildung erscheint damit auch mit Blick auf den Beizug von Ersatzrichtern hinreichend regelgebunden (vgl. Urteil 1C_187/ 2017 vom 20. März 2018 E. 6.6). Ebenfalls auf einem sachlichen Grund, nämlich der möglichst weitgehenden Entlastung der übrigen Richter, fusst die Einsetzung von Obergerichtssuppleantin Schwendener als Vorsitzende.</w:t>
      </w:r>
    </w:p>
    <w:p>
      <w:r>
        <w:rPr>
          <w:b/>
        </w:rPr>
        <w:t>E. 5</w:t>
      </w:r>
    </w:p>
    <w:p>
      <w:r>
        <w:t>Die Beschwerde ist aus diesen Erwägungen abzuweisen. Der Beschwerdeführer stellt ein Gesuch um unentgeltliche Rechtspflege. Er legt dem Bundesgericht indessen einzig den Lohnausweis seiner Ehefrau aus dem Jahr 2017 und die ablehnenden Antworten von zwei Banken auf Kreditanfragen vor. Damit hat er seine Einkommens- und Vermögensverhältnisse nicht hinreichend offen gelegt und es kann nicht beurteilt werden, ob er tatsächlich nicht über die erforderlichen Mittel verfügt ( Art. 64 Abs. 1 BGG ).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