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182/2017 vom 7. Juni 2017</w:t>
      </w:r>
    </w:p>
    <w:p>
      <w:r>
        <w:t>Bundesgericht, 2017-06-07, FR</w:t>
      </w:r>
    </w:p>
    <w:p>
      <w:r>
        <w:rPr>
          <w:b/>
        </w:rPr>
        <w:t xml:space="preserve">Quelle: </w:t>
      </w:r>
      <w:r>
        <w:t>https://mcp.opencaselaw.ch/entscheid/bger_1B_182_2017</w:t>
      </w:r>
    </w:p>
    <w:p>
      <w:r>
        <w:t>FR: TF 1B 182/2017 du 7 juin 2017</w:t>
      </w:r>
    </w:p>
    <w:p>
      <w:r>
        <w:t>IT: TF 1B 182/2017 del 7 giugno 2017</w:t>
      </w:r>
    </w:p>
    <w:p>
      <w:pPr>
        <w:pStyle w:val="Heading2"/>
      </w:pPr>
      <w:r>
        <w:t>Regeste</w:t>
      </w:r>
    </w:p>
    <w:p>
      <w:r>
        <w:t>Détention pour des motifs de sûreté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pour des motifs de sûreté au sens des art. 212 ss CPP ( ATF 137 IV 22 consid. 1 p. 23). Selon l'art. 81 al. 1 let. a et b ch. 1 LTF, le prévenu - actuellement détenu -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soutient que le dossier ne recèle pas un seul exemple d'ordre ou d'intention criminelle qui lui serait imputable. Il nie l'existence de charges suffisantes à son encontre.</w:t>
      </w:r>
    </w:p>
    <w:p>
      <w:r>
        <w:rPr>
          <w:b/>
        </w:rPr>
        <w:t>E. 2.1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 Le Tribunal fédéral examine librement ces questions, sous réserve toutefois de l'appréciation des faits, revue sous l'angle restreint des art. 97 al. 1 et 105 al. 2 LTF ( ATF 135 I 71 consid. 2.5 p. 73 s. et les références). En outre,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2.2</w:t>
      </w:r>
    </w:p>
    <w:p>
      <w:r>
        <w:t>En l'occurrence, le recourant a été reconnu coupable de dix assassinats et condamné à la peine privative de liberté à vie par la Cour de justice genevoise. Le recourant ne discute pas l'ensemble des charges retenues à son encontre et détaillées dans l'arrêt du 12 juillet 2015. Il se contente de reprocher à la Cour de justice d'avoir retenu l'existence d'une organisation criminelle dirigée par B.________ - Ministre de l'intérieur du Guatemala à l'époque des faits litigieux - et au sein de laquelle il aurait agi dans le but "d'assurer par la terreur l'autorité du gouvernement auquel il devait son poste". Le prévenu met aussi en évidence que l'acquittement de B.________, son supérieur direct, a été prononcé par l' Audiencia nacional de Madrid le 15 mars 2017 et que C.________, son subordonné direct, a été acquitté par la justice autrichienne. Partant, le recourant perd de vue qu'il n'appartient pas au juge de la détention de faire une appréciation complète des éléments à charge et à décharge; il lui incombe uniquement de vérifier, sous l'angle de la vraisemblance, que le maintien en détention avant jugement repose sur des indices de culpabilité suffisants. Or, même si l'arrêt de la Cour de justice du 12 juillet 2015 n'est pas exécutoire puisqu'un recours a été déposé à son encontre auprès du Tribunal fédéral, l'existence de charges suffisantes ne peut être niée, dans la mesure où deux juridictions ont condamné le prévenu à une peine privative de liberté à vie. Le faisceau d'indices retenus dans l'arrêt du 12 juillet 2015 est ainsi suffisant pour justifier un maintien en détention du recourant, sous l'angle de la vraisemblance. Le fait que B.________ a été acquitté en première instance en Espagne n'est pas susceptible d'annihiler l'existence vraisemblable de forts soupçons à l'encontre du recourant, ce d'autant moins qu'on ignore si le jugement d'acquittement de B.________ a fait l'objet d'un recours. Il en va de même de l'acquittement de C.________, lequel ne constitue pas un fait nouveau et était déjà connu des juges de première instance. Au demeurant, il n'appartient pas au juge de la détention mais au juge du fond d'examiner si la juridiction d'appel a violé la présomption d'innocence en considérant que l'interdiction du principe ne bis in idem ne l'empêchait pas de retenir incidemment la réalité de l'implication de C.________ dans le cadre de la procédure dirigée contre le recourant. Le recourant a d'ailleurs fait valoir ce grief dans son recours pendant devant la Cour de droit pénal du Tribunal fédéral.</w:t>
      </w:r>
    </w:p>
    <w:p>
      <w:r>
        <w:rPr>
          <w:b/>
        </w:rPr>
        <w:t>E. 3</w:t>
      </w:r>
    </w:p>
    <w:p>
      <w:r>
        <w:t>Le recourant conteste enfin l'existence d'un risque de fuite. Si un tel risque devait toutefois être retenu, il requiert la mise en oeuvre de mesures de substitution au sens de l' art. 237 CPP , telles que le versement d'une caution de 100'000 francs, le dépôt de ses papiers d'identité, le port d'un bracelet électronique et l'obligation de se rendre au poste de police de manière régulière.</w:t>
      </w:r>
    </w:p>
    <w:p>
      <w:r>
        <w:rPr>
          <w:b/>
        </w:rPr>
        <w:t>E. 3.1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3.2</w:t>
      </w:r>
    </w:p>
    <w:p>
      <w:r>
        <w:t>En l'occurrence, le risque de fuite avait été examiné en détail dans l'arrêt 1B_197/2013 du 26 juin 2013 (consid. 4). Le recourant fait d'ailleurs valoir les mêmes arguments qu'en juin 2013. Par conséquent, il peut être renvoyé à l'arrêt précité dans la mesure où la situation n'a pas changé depuis, si ce n'est que le recourant a été condamné à une peine privative de liberté à vie par la dernière instance cantonale, ce qui est susceptible d'accroître encore le risque de fuite. Mal fondé, le grief doit donc être rejeté.</w:t>
      </w:r>
    </w:p>
    <w:p>
      <w:r>
        <w:rPr>
          <w:b/>
        </w:rPr>
        <w:t>E. 3.3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 (let. a), la saisie des documents d'identité (let. b), l'assignation à résidence ou l'interdiction de se rendre dans un certain lieu ou un certain immeuble (let. c) et l'obligation de se présenter régulièrement à un service administratif (let. d). En l'espèce, le Tribunal fédéral a déjà examiné en détail les mesures de substitution proposées par le recourant dans l'arrêt 1B_197/2013 du 26 juin 2013 (consid. 4.4). Le recourant ne présente pas d'arguments nouveaux, de sorte qu'il peut aussi être renvoyé à cet arrêt à cet égard.</w:t>
      </w:r>
    </w:p>
    <w:p>
      <w:r>
        <w:rPr>
          <w:b/>
        </w:rPr>
        <w:t>E. 4</w:t>
      </w:r>
    </w:p>
    <w:p>
      <w:r>
        <w:t>Le recourant se plaint encore sommairement d'une violation du droit d'être jugé dans un délai raisonnable et du principe de la célérité ( art. 5 et 6 CEDH ). Il se contente de relever que sa cause est pendante depuis presque deux ans au Tribunal fédéral, alors que l'instruction menée par le Ministère public n'avait duré que 17 mois depuis son arrestation, que la procédure de première instance s'était étendue sur une période de moins de 8 mois et qu'entre la déclaration d'appel et la notification de l'arrêt motivé de la juridiction d'appel moins de 10 mois s'étaient écoulés. Fût-il recevable au regard des exigences de motivation, ce grief serait rejeté sur le fond pour les motifs qui suivent.</w:t>
      </w:r>
    </w:p>
    <w:p>
      <w:r>
        <w:rPr>
          <w:b/>
        </w:rPr>
        <w:t>E. 4.1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 ATF 133 I 168 consid. 4.1 p. 170; 132 I 21 consid. 4.1 p. 27; 107 Ia 256 consid. 2 et 3 p. 257 ss et les références). 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 L'incarcération peut être disproportionnée en cas de retard injustifié dans le cours de la procédure pénale ( ATF 128 I 149 consid. 2.2.1 p. 151; 123 I 268 consid. 3a p. 273).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rPr>
          <w:b/>
        </w:rPr>
        <w:t>E. 4.2</w:t>
      </w:r>
    </w:p>
    <w:p>
      <w:r>
        <w:t>En l'espèce, depuis l'incarcération du recourant le 31 août 2012, les autorités de poursuite pénale ont régulièrement fait progresser le dossier (voir arrêt 1B_60/2013 du 12 mars 2013 consid. 4); les deux instances cantonales ont ensuite statué rapidement, compte tenu de la nature et de la complexité de l'affaire. Enfin, le Tribunal fédéral a été saisi de la cause le 17 septembre 2015; il a mené une instruction qui s'est achevée par les observations déposées par le recourant en mars 2016. L'arrêt attaqué comporte 222 pages; le recours déposé contient environ 200 pages de griefs, entremêlés qui se renvoient les uns aux autres et qui se réfèrent à de nombreuses pièces; la partie intimée a aussi déposé des observations d'environ 200 pages. Le dossier est beaucoup plus volumineux qu'en 2013 puisqu'il contient désormais 47 classeurs fédéraux ainsi que de nombreuses pièces - parfois en langue espagnole - dont la lecture est ardue. Il se conçoit donc que la préparation d'un arrêt répondant minutieusement à l'ensemble des griefs invoqués nécessite un temps certain pour l'étude du dossier, la prise de position et la rédaction de l'arrêt. Ainsi, contrairement à ce que soutient le recourant, l'instruction n'a pas connu de temps mort susceptible de contrevenir au principe de célérité, s'agissant d'une cause qui doit être qualifiée désormais de complexe, en raison de la gravité des infractions reprochées, de leur nombre, de leur dimension internationale et de l'impact sur la vie personnelle du prévenu qui a été condamné à vie par les instances cantonales. Au demeurant, le recourant ne prétend pas que la détention subie à ce jour serait disproportionnée par rapport à la peine encourue. Dans ces circonstances particulières, le délai pour être jugé de manière définitive n'est donc pas encore dépassé et c'est à tort que le recourant prétend que le principe de la célérité a été violé.</w:t>
      </w:r>
    </w:p>
    <w:p>
      <w:r>
        <w:rPr>
          <w:b/>
        </w:rPr>
        <w:t>E. 5</w:t>
      </w:r>
    </w:p>
    <w:p>
      <w:r>
        <w:t>Il s'ensuit que le recours est rejeté dans la mesure de sa recevabilité,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