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1B_181/2019 vom 18. April 2019</w:t>
      </w:r>
    </w:p>
    <w:p>
      <w:r>
        <w:t>Bundesgericht, 2019-04-18, DE</w:t>
      </w:r>
    </w:p>
    <w:p>
      <w:r>
        <w:rPr>
          <w:b/>
        </w:rPr>
        <w:t xml:space="preserve">Quelle: </w:t>
      </w:r>
      <w:r>
        <w:t>https://mcp.opencaselaw.ch/entscheid/bger_1B_181_2019</w:t>
      </w:r>
    </w:p>
    <w:p>
      <w:r>
        <w:t>FR: TF 1B_181/2019 du 18 avril 2019</w:t>
      </w:r>
    </w:p>
    <w:p>
      <w:r>
        <w:t>IT: TF 1B_181/2019 del 18 aprile 2019</w:t>
      </w:r>
    </w:p>
    <w:p>
      <w:pPr>
        <w:pStyle w:val="Heading2"/>
      </w:pPr>
      <w:r>
        <w:t>Erwägungen</w:t>
      </w:r>
    </w:p>
    <w:p>
      <w:r>
        <w:rPr>
          <w:b/>
        </w:rPr>
        <w:t>E. 1</w:t>
      </w:r>
    </w:p>
    <w:p>
      <w:r>
        <w:t>Mit Verfügung vom 5. April 2019 hat es die Präsidentin des Appellationsgerichts Basel-Stadt abgelehnt, Rechtsanwalt B.________ als amtlichen Verteidiger von A.________ zu entlassen und durch Rechtsanwältin C.________ zu ersetzen. Ein solcher Verteidigerwechsel sei nur zu bewilligen, wenn die sachgemässe Wahrung der Interessen des Beschuldigten objektiv nicht mehr gewährleistet sei. Solche Gründe seien weder ersichtlich noch dargetan. Zudem könne sich die amtliche Verteidigung beim aktuellen Stand des Verfahrens - nach dem zweitinstanzlichen Urteilsspruch - ohnehin nur noch auf wenige Bemühungen erstrecken, weshalb sich ein Wechsel des amtlichen Verteidigers auch aus diesem Grund nicht mehr aufdränge. Für die Bewilligung der amtlichen Verteidigung in einem allfälligen Beschwerdeverfahren gegen das Berufungsurteil sei das Bundesgericht zuständig.</w:t>
      </w:r>
    </w:p>
    <w:p>
      <w:r>
        <w:t>Mit eigenhändiger Beschwerde beantragt A.________ sinngemäss, diese Verfügung aufzuheben und den beantragten Wechsel der amtlichen Verteidigung zu bewilligen.</w:t>
      </w:r>
    </w:p>
    <w:p>
      <w:r>
        <w:t>Vernehmlassungen wurden keine eingeholt.</w:t>
      </w:r>
    </w:p>
    <w:p>
      <w:r>
        <w:rPr>
          <w:b/>
        </w:rPr>
        <w:t>E. 2.1</w:t>
      </w:r>
    </w:p>
    <w:p>
      <w:r>
        <w:t>Angefochten ist ein kantonal letztinstanzlicher Entscheid in einer strafrechtlichen Angelegenheit. Dagegen steht die Beschwerde nach Art. 78 ff. BGG offen.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2.2</w:t>
      </w:r>
    </w:p>
    <w:p>
      <w:r>
        <w:t>Der Beschwerdeführer setzt sich mit dem angefochtenen Entscheid nicht auseinander und legt nicht dar, inwiefern dieser einen nicht wiedergutzumachenden Nachteil bewirken könnte. Das ist auch nicht ersichtlich. Auf die Beschwerde ist wegen Verletzung der gesetzlichen Begründungspflicht nicht einzutreten, und zwar, weil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