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1B_180/2019 vom 11. September 2019</w:t>
      </w:r>
    </w:p>
    <w:p>
      <w:r>
        <w:t>Bundesgericht, 2019-09-11, FR</w:t>
      </w:r>
    </w:p>
    <w:p>
      <w:r>
        <w:rPr>
          <w:b/>
        </w:rPr>
        <w:t xml:space="preserve">Quelle: </w:t>
      </w:r>
      <w:r>
        <w:t>https://mcp.opencaselaw.ch/entscheid/bger_1B_180_2019</w:t>
      </w:r>
    </w:p>
    <w:p>
      <w:r>
        <w:t>FR: TF 1B_180/2019 du 11 septembre 2019</w:t>
      </w:r>
    </w:p>
    <w:p>
      <w:r>
        <w:t>IT: TF 1B_180/2019 del 11 settembre 2019</w:t>
      </w:r>
    </w:p>
    <w:p>
      <w:pPr>
        <w:pStyle w:val="Heading2"/>
      </w:pPr>
      <w:r>
        <w:t>Erwägungen</w:t>
      </w:r>
    </w:p>
    <w:p>
      <w:r>
        <w:rPr>
          <w:b/>
        </w:rPr>
        <w:t>E. 1</w:t>
      </w:r>
    </w:p>
    <w:p>
      <w:r>
        <w:t>Conformément à l' art. 393 al. 1 let . c CPP, un recours n'est ouvert contre les décisions du Tmc que dans les cas prévus par ledit code. Aux termes de l' art. 248 al. 3 let. a CPP , cette juridiction statue définitivement sur la demande de levée des scellés au stade de la procédure préliminaire. Le code ne prévoit pas de recours cantonal contre les autres décisions rendues par le Tmc dans le cadre de la procédure de levée des scellés, dont celles relatives à la conduite de l'instruction. La voie du recours en matière pénale au Tribunal fédéral est ainsi en principe directement ouverte contre de tels prononcés (art. 80 al. 2 in fine LTF; ATF 143 IV 462 consid. 1 p. 465).</w:t>
      </w:r>
    </w:p>
    <w:p>
      <w:r>
        <w:t>Dans la mesure où les recourants ne sont en l'état pas prévenus, mais pour le moins des tiers intéressés par un acte de procédure au sens de l' art. 105 al. 1 let . f CPP, le prononcé attaqué revêt à leur égard le caractère d'une décision partielle ( art. 91 let. b LTF ). Il n'y a ainsi pas lieu de déterminer si les secrets invoqués - dont celui bancaire - permettent dans le cas d'espèce et eu égard à la motivation donnée de considérer que la décision entreprise est susceptible de leur causer un préjudice irréparable ( art. 93 al. 1 let. a LTF ; ATF 143 IV 462 consid. 1 p. 465; arrêt 1B_273/2015 du 21 janvier 2016 consid. 1.3).</w:t>
      </w:r>
    </w:p>
    <w:p>
      <w:r>
        <w:t>Le Tmc a relevé que les demandes de mise sous scellés déposées le 27 août 2018 par les recourantes E.________ SA, B.________ LDT, C.________ LTD et D.________ SA étaient tardives. Il a cependant retenu que leurs droits avaient été sauvegardés par la requête formée en temps utile par leur ayant droit économique, le recourant A.________ (cf. ad A p. 3 de l'ordonnance entreprise), ce qui permettait de traiter leurs griefs - au demeurant similaires et présentés par un avocat commun - sur le fond. L'ensemble des recourants a donc pris part à la procédure devant l'autorité précédente et, partant, la qualité pour recourir au sens de l' art. 81 al. 1 let. a et b LTF doit être reconnue.</w:t>
      </w:r>
    </w:p>
    <w:p>
      <w:r>
        <w:t>Pour le surplus, le recours a été déposé en temps utile ( art. 100 al. 1 LTF ) et les conclusions qui y sont prises sont recevables ( art. 107 al. 2 LTF ). Partant, il y a lieu d'entrer en matière.</w:t>
      </w:r>
    </w:p>
    <w:p>
      <w:r>
        <w:rPr>
          <w:b/>
        </w:rPr>
        <w:t>E. 2</w:t>
      </w:r>
    </w:p>
    <w:p>
      <w:r>
        <w:t>Les recourants ne contestent pas formellement l'existence de soupçons suffisants de la commission d'infractions (cf. ad 29 p. 10 du recours).</w:t>
      </w:r>
    </w:p>
    <w:p>
      <w:r>
        <w:t>Ils reprochent en revanche à l'autorité précédente d'avoir considéré que les pièces saisies les concernant pourraient permettre de les étayer; or, cette documentation serait sans lien avec les infractions poursuivies. Ce faisant, les recourants contestent l'utilité potentielle des documents saisis.</w:t>
      </w:r>
    </w:p>
    <w:p>
      <w:r>
        <w:rPr>
          <w:b/>
        </w:rPr>
        <w:t>E. 2.1</w:t>
      </w:r>
    </w:p>
    <w:p>
      <w:r>
        <w:t>Dans le cadre de ce contrôle, le Tmc doit vérifier si les pièces présentent apparemment une pertinence pour l'instruction en cours (cf. art. 197 al. 1 let . d CPP). Cette question ne peut être résolue dans le détail, puisque le contenu même des documents mis sous scellés n'est pas encore connu. L'autorité de levée des scellés doit s'en tenir, à ce stade, au principe de l' "utilité potentielle" ( ATF 132 IV 63 consid. 4.4 p. 66 s.). Celle-ci doit être vérifiée par rapport à l'ensemble des éléments saisis (arrêt 1B_336/2018 du 8 novembre 2018 consid. 4.3).</w:t>
      </w:r>
    </w:p>
    <w:p>
      <w:r>
        <w:t>Lors de cet examen, l'autorité se fonde notamment sur la demande du ministère public, sur l'éventuelle liste de mots-clés que celui-ci a produite - qui constitue un indice d'éventuelle pertinence, ainsi qu'une information quant aux objectifs poursuivis par l'autorité pénale -, ainsi que sur les renseignements donnés par le détenteur des pièces placées sous scellés ( arrêt 1B_336/2018 du 8 novembre 2018 consid. 4.3 et l'arrêt cité). Tant le ministère public que le détenteur doivent fournir des explications circonstanciées sur l'éventuelle pertinence, respectivement le défaut d'utilité, des documents placés sous scellés ( ATF 143 IV 462 consid. 2.1 p. 466; 141 IV 77 consid. 4.3 p. 81 et 5.6 p. 87; 138 IV 225 consid. 7.1 p. 229). Cela étant, les obligations en matière de motivation du détenteur sont d'autant plus importantes que le ministère public n'a pas accès au contenu des pièces (arrêt 1B_336/2018 du 8 novembre 2018 consid. 4.3 et l'arrêt cité); cela vaut en particulier lorsque les documents ou données dont la mise sous scellés a été requise sont très nombreux ou très complexes ( ATF 141 IV 77 consid. 4.3 p. 81 et 5.6 p. 87; 138 IV 225 consid. 7.1 p. 229 et les arrêts cités).</w:t>
      </w:r>
    </w:p>
    <w:p>
      <w:r>
        <w:rPr>
          <w:b/>
        </w:rPr>
        <w:t>E. 2.2</w:t>
      </w:r>
    </w:p>
    <w:p>
      <w:r>
        <w:t>En l'occurrence, l'utilité potentielle de la documentation bancaire relative au compte détenu auprès de K.________ SA, respectivement de l'annonce de celui-ci et de la société J.________ SA au MROS, ne saurait être contestée. En effet, en l'état, cinq versements suspects en lien avec cette relation paraissent avoir été mis en évidence. Contrairement à ce que prétendent les recourants, ces transferts ne sont de loin pas dénués de tout lien avec l'enquête en cours. Ils ont ainsi été effectués depuis le compte détenu par le recourant A.________, personne que les recourants savent faire l'objet d'une demande en paiement aux États-Unis par le trust mis en place par la société partie plaignante (cf. ad 79 du mémoire de recours p. 22). De plus, ces transferts ont été ordonnés en faveur de comptes ("LLL" et "AAA") sur lesquels F.________, prévenu dans l'enquête du Ministère public genevois, aurait indiqué, afin de motiver certains transferts, à la banque N.________ en être l'ayant droit économique. A cela s'ajoute encore que P.________, apparemment visé par la plainte pénale déposée par I.________ SA, bénéficie d'un droit de signature sur ces deux comptes. Enfin, ces deux relations bancaires ont été créditées, ultérieurement, de sommes importantes de la part de sociétés concernées par l'enquête en cours, dont H.________ (INC). En tout état de cause, les recourants ne donnent aucune explication s'agissant des motifs de ces - importants - transferts de fonds en faveur de la soeur de P.________ de la part du recourant A.________.</w:t>
      </w:r>
    </w:p>
    <w:p>
      <w:r>
        <w:t>Les ordres de dépôt concernant les autres relations bancaires pour lesquelles le recourant A.________ est titulaire du compte, au bénéfice d'un pouvoir de signature ou ayant droit économique, ne prêtent pas non plus le flanc à la critique. Le Ministère public enquête en effet notamment sur d'éventuels actes de blanchiment d'argent ( art. 305bis CP ). Dans ce cadre, les pièces bancaires sont généralement pertinentes, peu importe que le titulaire et/ou l'ayant droit économique du compte en cause soit prévenu ou pas. Ce genre d'infraction présuppose en effet habituellement la multiplication des transferts des fonds, tant quant à leurs destinataires, qu'aux montants en cause, aux motifs invoqués pour les faire et/ou à leur intensité chronologique. Cela peut également impliquer des virements entre les différents comptes bancaires auxquels une même personne peut être liée, peu importe son statut vis-à-vis de la banque ou celui détenu dans la procédure pénale. Analyser la documentation bancaire y relative permet ainsi de suivre les mouvements des fonds, que ce soit en amont ou en aval. L'autorité précédente pouvait ainsi sans violer le droit fédéral confirmer que l'obtention des pièces auprès des banques R.________ SA et S.________ ne constituait pas une recherche indéterminée de preuve ou ne respecterait pas le principe de proportionnalité.</w:t>
      </w:r>
    </w:p>
    <w:p>
      <w:r>
        <w:t>L'examen des mouvements des comptes peut également permettre de vérifier si des fonds ont pu servir, à un moment donné ou à un autre, à payer les employés de la société plaignante afin d'obtenir des informations confidentielles (cf. art. 322septies CP ); faute de disposer des pièces permettant de documenter - à charge ou à décharge - les circonstances entourant notamment les cinq versements litigieux (motifs, origine des fonds), on ne saurait reprocher au Ministère public de n'avoir pu en l'état étayer ses soupçons à cet égard. La documentation bancaire n'apparaissant ainsi pas uniquement utile afin d'établir une éventuelle infraction de blanchiment d'argent ( art. 305bis CP et art. 97 al. 1 let. b aCP [RO 2006 3459 abrogé au 31 décembre 2013; RO 2013 4417, FF 2012 8533]), l'éventuelle atteinte de la prescription de l'action pénale pour ce chef de prévention ne constitue donc pas dans le présent cas un motif suffisant pour refuser la levée des scellés. Cela vaut d'autant plus qu'il n'appartient pas au juge de la levée des scellés de qualifier juridiquement et définitivement les faits examinés; vu la longue période criminelle en cause, l'autorité précédente pouvait ainsi retenir sans violer le droit fédéral que toute circonstance aggravante au sens de l' art. 305bis ch. 2 CP n'était pas d'emblée exclue dans le cas d'espèce.</w:t>
      </w:r>
    </w:p>
    <w:p>
      <w:r>
        <w:t>Partant, le Tmc a retenu à juste titre que l'ensemble des pièces placées sous scellés pouvait avoir une utilité potentielle pour l'enquête en cours et ce grief peut être écarté.</w:t>
      </w:r>
    </w:p>
    <w:p>
      <w:r>
        <w:rPr>
          <w:b/>
        </w:rPr>
        <w:t>E. 3</w:t>
      </w:r>
    </w:p>
    <w:p>
      <w:r>
        <w:t>Les recourants se prévalent ensuite du secret bancaire, de celui commercial ( art. 162 CP ), ainsi que de leur droit, en tant que personnes appelées à donner des renseignements, de refuser de témoigner ( art. 169 al. 1 CPP ) pour démontrer leur intérêt prépondérant au maintien des scellés.</w:t>
      </w:r>
    </w:p>
    <w:p>
      <w:r>
        <w:t>Si le droit de ne pas s'auto-incriminer permet de ne pas collaborer ( art. 113 al. 1 CPP ), de refuser de témoigner ( art. 169 al. 1 let. a CPP ) ou de ne pas donner suite à un ordre de dépôt (cf. art. 265 al. 2 CPP ), la personne en cause reste tenue de tolérer les mesures de contrainte prévues par la loi, soit notamment les séquestres de documents que ceux-ci se trouvent en leurs mains ou en celles de tiers ( ATF 142 IV 207 consid. 8 et 9 p. 213 ss; arrêt 1B_71/2019 du 3 juillet 2019 consid. 3.5 destiné à la publication). En tout état de cause, les ordres de dépôt n'ont pas été adressés aux recourants, mais à des banques tenues en vertu de l' art. 265 al. 1 CPP par l'obligation de déposer et n'ayant a priori pas fait usage de leur droit au sens de l' art. 265 al. 2 let . c CPP. Le motif invoqué ne saurait dès lors constituer un empêchement à la levée des scellés.</w:t>
      </w:r>
    </w:p>
    <w:p>
      <w:r>
        <w:t>Il sied encore d'examiner si l'hypothèse que les données litigieuses puissent être exploitées dans la procédure civile américaine justifie de faire prévaloir, sur la recherche de la vérité, le secret des affaires et/ou bancaire dont se prévalent les recourants (cf. art. 173 al. 2 CPP ; arrêt 1B_71/2019 du 3 juillet 2019 consid. 3.2 et 3.3). Tel n'est cependant pas le cas. En effet, les recourants relèvent qu'un juge américain aurait mis en évidence le caractère douteux de cette démarche, que cela devrait conduire à l'irrecevabilité de la demande civile et que cette action - non étayée - procède vraisemblablement d'une tactique afin de les pousser à transiger pour éviter les coûts d'un procès et la publicité négative y relative (cf. ad 79 s. p. 22 s.). Or, la recherche de la vérité dans une procédure pénale d'envergure aux ramifications internationales importantes ne saurait être écartée au seul motif que la position des recourants au cours de discussions transactionnelles - au demeurant hypothétiques - pourrait être péjorée. Cela vaut d'ailleurs d'autant plus que, faute de motivation conforme à l' art. 42 al. 2 LTF , il n'est pas d'emblée évident de déterminer quels pourraient être les éléments couverts par le secret bancaire et/ou des affaires que la documentation saisie permettrait de mettre en évidence, respectivement quelles activités commerciales seraient dès lors mises en péril.</w:t>
      </w:r>
    </w:p>
    <w:p>
      <w:r>
        <w:t>Par conséquent, ces griefs peuvent être écartés.</w:t>
      </w:r>
    </w:p>
    <w:p>
      <w:r>
        <w:rPr>
          <w:b/>
        </w:rPr>
        <w:t>E. 4</w:t>
      </w:r>
    </w:p>
    <w:p>
      <w:r>
        <w:t>Vu l'issue du litige - qui conduit à la levée des scellés sur l'intégralité de la documentation -, il n'y a pas lieu de déterminer, ainsi que le souhaite le Ministère public, s'il serait, sur un plan général, interdit de demander la mise sous scellés des annonces, ainsi que des annexes adressées au MROS et que ce dernier dénonce au Ministère public en application de l'art. 23 al. 4 de la loi fédérale du 10 octobre 1997 concernant la lutte contre le blanchiment d'argent et le financement du terrorisme (LBA; RS 955.0).</w:t>
      </w:r>
    </w:p>
    <w:p>
      <w:r>
        <w:rPr>
          <w:b/>
        </w:rPr>
        <w:t>E. 5</w:t>
      </w:r>
    </w:p>
    <w:p>
      <w:r>
        <w:t>Le recours est rejeté.</w:t>
      </w:r>
    </w:p>
    <w:p>
      <w:r>
        <w:t>Les recourants, qui succombent, supportent solidairement les frais judiciaires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