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1B_180/2013 vom 30. Mai 2013</w:t>
      </w:r>
    </w:p>
    <w:p>
      <w:r>
        <w:t>Bundesgericht, 2013-05-30, DE</w:t>
      </w:r>
    </w:p>
    <w:p>
      <w:r>
        <w:rPr>
          <w:b/>
        </w:rPr>
        <w:t xml:space="preserve">Quelle: </w:t>
      </w:r>
      <w:r>
        <w:t>https://mcp.opencaselaw.ch/entscheid/bger_1B_180_2013</w:t>
      </w:r>
    </w:p>
    <w:p>
      <w:r>
        <w:t>FR: TF 1B_180/2013 du 30 mai 2013</w:t>
      </w:r>
    </w:p>
    <w:p>
      <w:r>
        <w:t>IT: TF 1B_180/2013 del 30 maggio 2013</w:t>
      </w:r>
    </w:p>
    <w:p>
      <w:pPr>
        <w:pStyle w:val="Heading2"/>
      </w:pPr>
      <w:r>
        <w:t>Erwägungen</w:t>
      </w:r>
    </w:p>
    <w:p>
      <w:r>
        <w:rPr>
          <w:b/>
        </w:rPr>
        <w:t>E. 1.1</w:t>
      </w:r>
    </w:p>
    <w:p>
      <w:r>
        <w:t>Angefochten ist ein in einem Beschwerdeverfahren vor der letzten kantonalen Instanz gegen einen Haftentscheid ergangener Entscheid, gegen den die Beschwerde in Strafsachen nach den Art. 78 ff. BGG grundsätzlich offen steht. Der angefochtene Entscheid der Verfahrensleiterin erkennt der Beschwerde der Staatsanwaltschaft aufschiebende Wirkung zu mit der Folge, dass der Beschwerdeführer bis zum Abschluss des Beschwerdeverfahrens in Haft bleibt. Er schliesst damit das Verfahren nicht ab, es handelt sich um einen Zwischenentscheid, der nach Art. 93 Abs. 1 lit. a BGG u. a. dann anfechtbar ist, wenn er einen nicht wieder gutzumachenden Nachteil bewirken kann. Das ist bei der Fortführung der Haft ohne Weiteres der Fall, der Beschwerde steht somit auch unter diesem Gesichtspunkt nichts entgegen.</w:t>
      </w:r>
    </w:p>
    <w:p>
      <w:r>
        <w:rPr>
          <w:b/>
        </w:rPr>
        <w:t>E. 2</w:t>
      </w:r>
    </w:p>
    <w:p>
      <w:r>
        <w:t>Das Bundesgericht hat in BGE 138 IV 92 E. 2 indessen dargelegt, dass und weshalb in dieser Konstellation die Beschwerde ans Bundesgericht ausgeschlossen ist. Auch wenn im damals beurteilten Fall die Parteirollen vertauscht waren - die Staatsanwaltschaft wollte die Inhaftierung des aus der Haft entlassenen Beschuldigten für die Dauer des Verfahrens erreichen - können diese Ausführungen mutatis mutandis auch im vorliegenden Fall uneingeschränkt Geltung beanspruchen:</w:t>
      </w:r>
    </w:p>
    <w:p>
      <w:r>
        <w:t>Ein Beschuldigter, der nach einem für ihn günstigen Entscheid des Zwangsmassnahmengerichts in Haft behalten wird, weil die Verfahrensleiterin der Beschwerde der Staatsanwaltschaft nach Art. 387 StPO aufschiebende Wirkung zuerkannte (oder nach Art. 388 lit. b StPO für die Dauer des Verfahrens Haft anordnete), kann diesen Entscheid nicht beim Bundesgericht anfechten. Denn vor Bundesgericht würde diesfalls die gleiche Rechtsfrage anhängig gemacht, die vor der Beschwerdeinstanz noch zum (definitiven) Entscheid ansteht, und dies nicht während eines nicht absehbaren, unbestimmten Zeitraums, sondern nach den verfassungsrechtlichen und gesetzlichen Vorgaben sofort, d.h. innert weniger Tage. Bei dieser prozessualen Konstellation würde ein Weiterzug der Verfügung der Verfahrensleiterin an das Bundesgericht zu einer doppelten, konkurrierenden Zuständigkeit verschiedener Gerichtsinstanzen für die gleiche Streitfrage mit der Gefahr unkoordinierter und widersprüchlicher Entscheide und von Verfahrensverzögerungen führen. Dies verstiesse gegen das verfassungsrechtliche Gebot der Einheit und Widerspruchsfreiheit des Verfahrens ( Art. 9 BV ; BGE 117 Ib 35 E. 3e S. 39) sowie gegen das Beschleunigungsgebot in Haftsachen ( Art. 5 Abs. 2 StPO ).</w:t>
      </w:r>
    </w:p>
    <w:p>
      <w:r>
        <w:t>Überdies müsste die Beurteilung dieser verfahrensleitenden Verfügung durch das Bundesgericht auf der Grundlage bloss rudimentärer Informationen erfolgen, da die knappe Zeit für ihre Begründung und ihre Anfechtung eine vollständige Darlegung der massgebenden Umstände in der Regel nicht erlaubt. Ausserdem wären praktische Schwierigkeiten bei der Verfahrensinstruktion unausweichlich, zumal die Akten, insbesondere das Hauptdossier, gleichzeitig von der Beschwerdeinstanz benötigt werden und rasch bearbeitet werden müssen ( Art. 31 Abs. 4 BV ). Mit Blick auf diese prozessualen Besonderheiten muss es dem Beschuldigten verwehrt bleiben, seine von der Verfahrensleiterin der Beschwerdeinstanz für die Dauer des Verfahrens angeordnete Fortsetzung der Haft beim Bundesgericht anzufechten. Er muss den Sachentscheid der Beschwerdeinstanz abwarten und kann nur gegen diesen Beschwerde beim Bundesgericht einlegen, sofern er dannzumal noch über ein aktuelles praktisches Rechtsschutzinteresse verfügt (vgl. dazu BGE 137 IV 87 ).</w:t>
      </w:r>
    </w:p>
    <w:p>
      <w:r>
        <w:rPr>
          <w:b/>
        </w:rPr>
        <w:t>E. 3</w:t>
      </w:r>
    </w:p>
    <w:p>
      <w:r>
        <w:t>Auf die Beschwerde ist nicht einzutreten. Dem Ausgang des Verfahrens entsprechend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