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1B_17/2014 vom 7. März 2014</w:t>
      </w:r>
    </w:p>
    <w:p>
      <w:r>
        <w:t>Bundesgericht, 2014-03-07, DE</w:t>
      </w:r>
    </w:p>
    <w:p>
      <w:r>
        <w:rPr>
          <w:b/>
        </w:rPr>
        <w:t xml:space="preserve">Quelle: </w:t>
      </w:r>
      <w:r>
        <w:t>https://mcp.opencaselaw.ch/entscheid/bger_1B_17_2014</w:t>
      </w:r>
    </w:p>
    <w:p>
      <w:r>
        <w:t>FR: TF 1B_17/2014 du 7 mars 2014</w:t>
      </w:r>
    </w:p>
    <w:p>
      <w:r>
        <w:t>IT: TF 1B_17/2014 del 7 marzo 2014</w:t>
      </w:r>
    </w:p>
    <w:p>
      <w:pPr>
        <w:pStyle w:val="Heading2"/>
      </w:pPr>
      <w:r>
        <w:t>Erwägungen</w:t>
      </w:r>
    </w:p>
    <w:p>
      <w:r>
        <w:rPr>
          <w:b/>
        </w:rPr>
        <w:t>E. 1.1</w:t>
      </w:r>
    </w:p>
    <w:p>
      <w:r>
        <w:t>Der angefochtene Beschluss stellt einen Zwischenentscheid einer letzten kantonalen Instanz ( Art. 80 BGG ) dar, der gemäss Art. 78 Abs. 1 BGG der Beschwerde in Strafsachen unterliegt, sofern die Voraussetzungen von Art. 93 Abs. 1 BGG gegeben sind. Ob dies hier der Fall ist, kann offen bleiben.</w:t>
      </w:r>
    </w:p>
    <w:p>
      <w:r>
        <w:rPr>
          <w:b/>
        </w:rPr>
        <w:t>E. 1.2</w:t>
      </w:r>
    </w:p>
    <w:p>
      <w:r>
        <w:t>Streitgegenstand bildet der Umfang des Akteneinsichtsrechts der Beschwerdeführerin als beschuldigte Person im Vorverfahren nach StPO (SR 312.0). Das Verfahren vor der Staatsanwaltschaft wurde am 30. August 2012 mit Einstellungsverfügung und mit Strafbefehl abgeschlossen. Ein Rechtsmittel ist nach den Ausführungen der Vorinstanz nicht mehr hängig. Damit ist das Rechtsschutzinteresse der Beschwerdeführerin nicht mehr aktuell.</w:t>
      </w:r>
    </w:p>
    <w:p>
      <w:r>
        <w:t>Dies wird von der Beschwerdeführerin nicht bestritten. Sie macht indessen geltend, das Bundesgericht verzichte praxisgemäss auf das Erfordernis eines aktuellen praktischen Rechtsschutzinteresses,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 BGE 139 I 206 E. 1.1 S. 208).</w:t>
      </w:r>
    </w:p>
    <w:p>
      <w:r>
        <w:rPr>
          <w:b/>
        </w:rPr>
        <w:t>E. 1.3</w:t>
      </w:r>
    </w:p>
    <w:p>
      <w:r>
        <w:t>Die Beschwerdeführerin begründet nicht, und es ist auch nicht ersichtlich, weshalb eine rechtzeitige höchstrichterliche Beurteilung der Frage nach dem Umfang des Akteneinsichtsrechts im Vorverfahren kaum je möglich sein sollte. Vielmehr weist die Beschwerdeführerin selbst darauf hin, dass das vorliegende Verfahren zum Zeitpunkt ihres Gesuchs bereits drei Jahre gedauert habe (Beschwerde S. 7). Im Normalfall erscheint eine rechtzeitige bundesgerichtliche Prüfung dieser Rechtsfrage durchaus möglich (vgl. insoweit auch Verfügung 1B_339/ 2013 vom 4. Februar 2014 E. 4), weshalb kein Anlass besteht, die Beschwerde trotz des fehlenden aktuellen praktischen Interesses der Beschwerdeführerin ausnahmsweise materiell zu behandeln. Auf die Beschwerde ist im vereinfachten Verfahren nach Art. 108 Abs. 1 BGG nicht einzutreten.</w:t>
      </w:r>
    </w:p>
    <w:p>
      <w:r>
        <w:rPr>
          <w:b/>
        </w:rPr>
        <w:t>E. 2</w:t>
      </w:r>
    </w:p>
    <w:p>
      <w:r>
        <w:t>Bei diesem Ausgang des Verfahrens wird die Beschwerdeführerin grundsätzlich kostenpflichtig. Angesichts ihrer schwierigen finanziellen Verhältnisse rechtfertigt es sich jedoch, auf die Erhebung von Gerichtskosten zu verzichten ( Art. 66 Abs. 1 Satz 2 BGG ). Damit ist der Antrag auf unentgeltliche Prozessführung gegenstandslos. Da die Beschwerde aussichtslos war, ist das Gesuch um unentgeltliche Rechtsverbeiständung abzuweisen ( Art. 64 Abs. 1 und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