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177/2023 vom 3. April 2023</w:t>
      </w:r>
    </w:p>
    <w:p>
      <w:r>
        <w:t>Bundesgericht, 2023-04-03, DE</w:t>
      </w:r>
    </w:p>
    <w:p>
      <w:r>
        <w:rPr>
          <w:b/>
        </w:rPr>
        <w:t xml:space="preserve">Quelle: </w:t>
      </w:r>
      <w:r>
        <w:t>https://mcp.opencaselaw.ch/entscheid/bger_1B_177_2023</w:t>
      </w:r>
    </w:p>
    <w:p>
      <w:r>
        <w:t>FR: TF 1B 177/2023 du 3 avril 2023</w:t>
      </w:r>
    </w:p>
    <w:p>
      <w:r>
        <w:t>IT: TF 1B 177/2023 del 3 aprile 2023</w:t>
      </w:r>
    </w:p>
    <w:p>
      <w:pPr>
        <w:pStyle w:val="Heading2"/>
      </w:pPr>
      <w:r>
        <w:t>Regeste</w:t>
      </w:r>
    </w:p>
    <w:p>
      <w:r>
        <w:t>Strafverfahren; Widerruf und Wechsel der amtlichen Verteidigung | Strafprozess</w:t>
      </w:r>
    </w:p>
    <w:p>
      <w:pPr>
        <w:pStyle w:val="Heading2"/>
      </w:pPr>
      <w:r>
        <w:t>Erwägungen</w:t>
      </w:r>
    </w:p>
    <w:p>
      <w:r>
        <w:rPr>
          <w:b/>
        </w:rPr>
        <w:t>E. 1</w:t>
      </w:r>
    </w:p>
    <w:p>
      <w:r>
        <w:t>Die Staatsanwaltschaft Basel-Landschaft führt seit dem 3. August 2017 gegen A.________ eine Strafuntersuchung wegen mehrfachen gewerbsmässigen Betrugs. Am 2. Januar 2023 verfügte die Staatsanwaltschaft einen Wechsel der amtlichen Verteidigung. Dagegen erhob A.________ Beschwerde und stellte dabei mehrere Rechtsbegehren. Das Kantonsgericht Basel-Landschaft trat mit Beschluss vom 15. Februar 2023 auf die Beschwerde nicht ein. Es führte dabei zusammenfassend aus, bezüglich der Rechtsbegehren Ziffern 1 und 3 der Beschwerde sei mangels rechtlich geschützten Interesses auf die Beschwerde nicht einzutreten. Hinsichtlich des Rechtsbegehrens Ziffer 4 sei mangels hinreichender Begründung auf die Beschwerde nicht einzutreten. Soweit der Beschwerdeführer mit Rechtsbegehren Ziffer 2 um Sanktionierung der Straftat der üblen Nachrede ersuche, sei auf die kantonsgerichtliche Verfügung vom 17. Januar 2023 hinzuweisen. Soweit es sich bei seiner Eingabe vom 14. Januar 2023 um eine Strafanzeige handle, sei diese Eingabe mit besagter Verfügung an die Staatsanwaltschaft Basel-Landschaft zur weiteren Bearbeitung weitergeleitet worden.</w:t>
      </w:r>
    </w:p>
    <w:p>
      <w:r>
        <w:rPr>
          <w:b/>
        </w:rPr>
        <w:t>E. 2</w:t>
      </w:r>
    </w:p>
    <w:p>
      <w:r>
        <w:t>A.________ führt mit Eingabe vom 25. März 2023 Beschwerde in Strafsachen gegen den Beschluss des Kantonsgerichts Basel-Landschaft vom 15. Februar 2023.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geht mit seinen Ausführungen überhaupt nicht auf die Begründung des Kantonsgerichts ein, die zum Nichteintreten auf seine Beschwerde führte. Er vermag daher nicht aufzuzeigen, inwiefern die Begründung des Kantonsgerichts bzw. dessen Beschluss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Ausnahmsweise ist davon abzusehen, für das bundesgerichtliche Verfahren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