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1B_177/2014 vom 22. Mai 2014</w:t>
      </w:r>
    </w:p>
    <w:p>
      <w:r>
        <w:t>Bundesgericht, 2014-05-22, DE</w:t>
      </w:r>
    </w:p>
    <w:p>
      <w:r>
        <w:rPr>
          <w:b/>
        </w:rPr>
        <w:t xml:space="preserve">Quelle: </w:t>
      </w:r>
      <w:r>
        <w:t>https://mcp.opencaselaw.ch/entscheid/bger_1B_177_2014</w:t>
      </w:r>
    </w:p>
    <w:p>
      <w:r>
        <w:t>FR: TF 1B_177/2014 du 22 mai 2014</w:t>
      </w:r>
    </w:p>
    <w:p>
      <w:r>
        <w:t>IT: TF 1B_177/2014 del 22 maggio 2014</w:t>
      </w:r>
    </w:p>
    <w:p>
      <w:pPr>
        <w:pStyle w:val="Heading2"/>
      </w:pPr>
      <w:r>
        <w:t>Erwägungen</w:t>
      </w:r>
    </w:p>
    <w:p>
      <w:r>
        <w:rPr>
          <w:b/>
        </w:rPr>
        <w:t>E. 1</w:t>
      </w:r>
    </w:p>
    <w:p>
      <w:r>
        <w:t>Das Kreisgericht St. Gallen sprach am 9. Dezember 2013 B.________ der Beschimpfung schuldig, sah indessen von einer Bestrafung ab. Gleichentags sprach das Kreisgericht C.________ von der Anklage der mehrfachen Beschimpfung frei. Das Bezirksgericht wies in beiden Verfahren die vom Privatkläger A.________ beantragte Genugtuung von Fr. 500.-- ab.</w:t>
      </w:r>
    </w:p>
    <w:p>
      <w:r>
        <w:rPr>
          <w:b/>
        </w:rPr>
        <w:t>E. 2</w:t>
      </w:r>
    </w:p>
    <w:p>
      <w:r>
        <w:t>A.________ erklärte in beiden Verfahren mit Eingabe vom 17. Februar 2014 Berufung. Die Strafkammer des Kantonsgericht St. Gallen verfügte am 20. Februar 2014 in beiden Verfahren eine Sicherheitsleistung von je Fr. 800.--. Am 1. März 2014 ersuchte A.________ um Fristerstreckung für die Leistung der Sicherheit und stellte ein Gesuch um unentgeltliche Rechtspflege in Aussicht. Die Strafkammer gewährte ihm mit Verfügung vom 3. März 2014 die beantragte Fristverlängerung und wies ihn auf die Voraussetzungen der unentgeltlichen Rechtspflege für die Privatklägerschaft gemäss Art. 136 Abs. 1 StPO hin. Daraufhin ersuchte A.________ mit Eingaben vom 18. März 2014 in beiden Verfahren um Gewährung der unentgeltlichen Rechtspflege. Die Strafkammer des Kantonsgerichts St. Gallen wies mit Verfügung vom 26. März 2014 das Gesuch um unentgeltliche Rechtspflege in beiden Verfahren ab und setzte A.________ eine Notfrist von fünf Tagen zur Leistung der Sicherheit. Die Strafkammer führte zur Begründung zusammenfassend aus, dass im Berufungsverfahren keine Zivilansprüche nach Art. 119 Abs. 2 lit. b StPO mehr geltend gemacht wurden, weshalb die Voraussetzungen für die Gewährung der unentgeltlichen Rechtspflege nicht gegeben seien.</w:t>
      </w:r>
    </w:p>
    <w:p>
      <w:r>
        <w:rPr>
          <w:b/>
        </w:rPr>
        <w:t>E. 3</w:t>
      </w:r>
    </w:p>
    <w:p>
      <w:r>
        <w:t>A.________ führt mit Eingabe vom 12. Mai 2014 Beschwerde in Strafsachen gegen die Verfügung der Strafkammer des Kantonsgerichts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vermag mit seinen Ausführungen nicht aufzuzeigen, inwiefern die Begründung der Strafkammer bzw. die Verfügung selbst rechts- bzw. verfassungswidrig sein sollte. Die Beschwerde genügt daher den gesetzlichen Formerfordernissen offensichtlich nicht, weshalb auf sie im vereinfachten Verfahren nach Art. 108 Abs. 1 BGG nicht einzutreten ist.</w:t>
      </w:r>
    </w:p>
    <w:p>
      <w:r>
        <w:rPr>
          <w:b/>
        </w:rPr>
        <w:t>E. 5</w:t>
      </w:r>
    </w:p>
    <w:p>
      <w:r>
        <w:t>Auf eine Kostenauflage ist zu verzichten ( Art. 66 Abs. 1 BGG ). Mit dem vorliegenden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