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1B_176/2022 vom 21. April 2022</w:t>
      </w:r>
    </w:p>
    <w:p>
      <w:r>
        <w:t>Bundesgericht, 2022-04-21, FR</w:t>
      </w:r>
    </w:p>
    <w:p>
      <w:r>
        <w:rPr>
          <w:b/>
        </w:rPr>
        <w:t xml:space="preserve">Quelle: </w:t>
      </w:r>
      <w:r>
        <w:t>https://mcp.opencaselaw.ch/entscheid/bger_1B_176_2022</w:t>
      </w:r>
    </w:p>
    <w:p>
      <w:r>
        <w:t>FR: TF 1B_176/2022 du 21 avril 2022</w:t>
      </w:r>
    </w:p>
    <w:p>
      <w:r>
        <w:t>IT: TF 1B_176/2022 del 21 aprile 2022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recourant, prévenu détenu, a qualité pour recourir. En matière de détention provisoire, le recours en matière pénale doit être déposé devant le Tribunal fédéral dans les trente jours qui suivent la notification de l'expédition complète de la décision attaquée sans tenir compte des féries judiciaires ( art. 100 al. 1 LTF ; ATF 133 I 270 consid. 1.2.2 p. 274; arrêt 1B_12/2022 du 13 janvier 2022 consid. 2.2); le recours formé le 5 avril 2022 a donc été déposé en temps utile. Il est en outre dirigé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ne conteste pas l'existence de charges suffisantes pesant à son encontre. Il reproche en revanche à l'autorité précédente d'avoir retenu l'existence d'un risque de réitération, respectivement d'avoir considéré qu'aucune mesure de substitution ne permettait de le réduire. Le recourant se plaint également d'une violation du principe de célérité. A l'appui de ses griefs, le recourant invoque en particulier un établissement arbitraire des faits : la cour cantonale n'aurait pas pris en compte l'ensemble de ses déclarations, celles émises par sa mère et le courrier d'un expert communiquant le nom des experts, ainsi que la date du 30 mars 2022 pour la restitution du rapport.</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p. 328).</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p. 328).</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146 IV 326 consid. 3.1 p. 328).</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p. 329).</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326 consid. 3.1 p. 329).</w:t>
      </w:r>
    </w:p>
    <w:p>
      <w:r>
        <w:rPr>
          <w:b/>
        </w:rPr>
        <w:t>E. 3.2</w:t>
      </w:r>
    </w:p>
    <w:p>
      <w:r>
        <w:t>Conformément au principe de la proportionnalité ancré à l'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p. 509 s.).</w:t>
      </w:r>
    </w:p>
    <w:p>
      <w:r>
        <w:rPr>
          <w:b/>
        </w:rPr>
        <w:t>E. 3.3</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 art. 212 al. 3 CPP prévoit que la détention provisoire et la détention pour des motifs de sûreté ne doivent pas durer plus longtemps que la peine privative de liberté prévisible.</w:t>
      </w:r>
    </w:p>
    <w:p>
      <w:r>
        <w:t>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p. 80; 128 I 149 consid. 2.2.1 p. 151).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s.; arrêt 1B_7/2022 du 31 janvier 2022 consid. 5.1).</w:t>
      </w:r>
    </w:p>
    <w:p>
      <w:r>
        <w:rPr>
          <w:b/>
        </w:rPr>
        <w:t>E. 4</w:t>
      </w:r>
    </w:p>
    <w:p>
      <w:r>
        <w:t>La cour cantonale a considéré que les faits reprochés au recourant étaient graves et inquiétants; il s'en était pris à l'intégrité sexuelle d'une fille âgée de 12 ans et n'avait pas cessé ses actes quand il avait su son âge. Selon l'autorité précédente, le recourant avait également échangé des photos à caractère sexuel avec sa cousine de 13 ans, ainsi que créé trois faux profils de filles mineures avec lesquels il prétendait avoir conversé quotidiennement; son comportement, apparemment compulsif, sur fond de consommation problématique d'alcool, n'était pas rassurant. Les Juges cantonaux ont retenu que les facteurs de protection en cas de libération étaient maigres : le recourant était sans projet professionnel et passait la majeure partie de son temps chez lui à jouer à des jeux vidéos. Ils ont relevé que l'état psychique du recourant était encore flou, une expertise psychiatrique étant en cours; il convenait donc d'attendre les conclusions de celle-ci, le dépôt du rapport étant fixé au 16 mai 2022 (cf. consid. 4.3 p. 8 s. de l'arrêt attaqué).</w:t>
      </w:r>
    </w:p>
    <w:p>
      <w:r>
        <w:rPr>
          <w:b/>
        </w:rPr>
        <w:t>E. 4.1</w:t>
      </w:r>
    </w:p>
    <w:p>
      <w:r>
        <w:t>Ce raisonnement ne prête pas le flanc à la critique. Il peut tout d'abord être rappelé l'importance du bien juridique à protéger dans le cas d'espèce, soit l'intégrité sexuelle et psychique de mineur (s). La gravité des faits autorise donc à faire abstraction de l'absence d'antécédents, ce que ne conteste au demeurant pas le recourant. On ne saurait pas non plus écarter toute aggravation des comportements adoptés par le recourant puisqu'en juillet 2021, c'est en particulier l'échange de photographies à caractère sexuel avec sa cousine de 13 ans qui lui est reproché, alors qu'entre mi-septembre et mi-octobre 2021, ce sont des actes d'ordre sexuel proprement dits avec une enfant de 12 ans qui font l'objet de l'instruction.</w:t>
      </w:r>
    </w:p>
    <w:p>
      <w:r>
        <w:t>En l'état, le recourant ne peut se prévaloir d'aucun élément qui permettrait de retenir qu'en cas de libération, il bénéficierait d'un cadre fondamentalement différent de celui qui prévalait au moment des faits reprochés : il se retrouverait ainsi dans le même milieu familial, lequel ne semblait pas avoir ignoré ses difficultés, voire son état dépressif (cf. ad ch. 6 p. 7 du recours), sans avoir pu a priori lui apporter des solutions; le recourant ne semble pas non plus avoir de projets d'activité, notamment sur le plan professionnel (a contrario s'agissant du second point dans l'arrêt 1B_182/2020 du 4 mai 2020 consid. 6.2). A cela s'ajoutent encore la création de trois personnages féminins âgés de 13 ans et le contenu des échanges - certes fictifs - avec ceux-ci. Ces éléments sont pour le moins inquiétants, notamment quant à l'état psychique du recourant.</w:t>
      </w:r>
    </w:p>
    <w:p>
      <w:r>
        <w:t>Dans une telle configuration, il existe un risque élevé que le recourant, toujours désoeuvré, ne réitère les comportements à l'origine de l'enquête ouverte à son encontre. On ne saurait dès lors se contenter de sa volonté - certes peut-être affirmée à sa mère (cf. ad ch. 6 p. 7 du recours) et réitérée à plusieurs reprises (cf. ad ch. 3 p. 3, ch. 25 p. 8 s. et ch. 30 p. 10 du recours) - de ne pas recommencer ses agissements, d'arrêter sa consommation d'alcool ou de suivre un traitement pour exclure tout danger de récidive. Cette dernière constatation s'impose d'autant plus qu'à ce jour, les experts ne se sont pas encore prononcés sur le risque de récidive, ainsi que sur la possibilité de mesures et/ou de traitements propres à le réduire. L'importance du bien juridique à protéger impose une prudence particulière et, vu les circonstances d'espèce, il se justifie dès lors d'attendre les conclusions du rapport d'expertise ( ATF 143 IV 9 consid. 2.8 p. 16).</w:t>
      </w:r>
    </w:p>
    <w:p>
      <w:r>
        <w:rPr>
          <w:b/>
        </w:rPr>
        <w:t>E. 4.2</w:t>
      </w:r>
    </w:p>
    <w:p>
      <w:r>
        <w:t>Ces motifs permettent aussi de confirmer le défaut de mesures de substitution propres à pallier le danger existant.</w:t>
      </w:r>
    </w:p>
    <w:p>
      <w:r>
        <w:rPr>
          <w:b/>
        </w:rPr>
        <w:t>E. 4.3</w:t>
      </w:r>
    </w:p>
    <w:p>
      <w:r>
        <w:t>La durée de la détention provisoire subie ne viole pas le principe de proportionnalité eu égard à la peine encourue; le recourant ne le prétend d'ailleurs pas. Il reproche en revanche à l'autorité précédente de n'avoir pas estimé nécessaire de recueillir un avis préliminaire des experts psychiatres sur le risque de récidive; la durée de la procédure violerait dès lors le principe de célérité et son maintien en détention serait donc disproportionné.</w:t>
      </w:r>
    </w:p>
    <w:p>
      <w:r>
        <w:t>Eu égard à l'importance du bien juridique à protéger dans le présent cas, à la réalisation des conditions permettant le maintien en détention provisoire et à la chronologie d'espèce, l'éventuelle prolongation de la détention provisoire qu'induit l'attente du rapport d'expertise - certes prolongée jusqu'au 16 mai 2022 - ne saurait constituer en l'occurrence un manquement grave permettant de retenir une violation du principe de célérité. Le recourant ne prétend d'ailleurs pas qu'il serait manifeste que ce délai ne pourrait pas être respecté; on ne saurait dès lors considérer qu'il s'imposait d'interpeller les experts pour obtenir un avis préliminaire sur le danger de récidive. On relèvera en outre qu'au moment de la requête de prolongation de la détention provisoire du Ministère public (11 février 2022) - soit la première dans la procédure concernant le recourant -, un rapport des experts était encore attendu pour fin avril 2022, ce qui correspondait à l'échéance fixée par le Ministère public (cf. p. 1 de la requête de prolongation et le mandat d'expertise du 29 décembre 2021) et à laquelle le recourant ne soutient pas s'être opposé, notamment en se prévalant de la date du 30 mars 2022 a priori avancée par les experts (cf. ad ch. 9 p. 4 du recours). On relève enfin que le terme fixé aux experts n'excède pas celui de la prolongation de la détention provisoire ordonnée dans la présente cause (21 mai 2022). Cela étant, dans le cadre d'une éventuelle future demande de prolongation de la détention provisoire, le Ministère public ne manquera pas de réexaminer ces circonstances et, le cas échéant, d'interpeller les experts afin d'obtenir un premier avis sur le risque de récidive et/ou les mesures/traitements pouvant entrer en considération afin de le diminuer ( ATF 143 IV 9 consid. 2.8 p. 16 s.).</w:t>
      </w:r>
    </w:p>
    <w:p>
      <w:r>
        <w:rPr>
          <w:b/>
        </w:rPr>
        <w:t>E. 5</w:t>
      </w:r>
    </w:p>
    <w:p>
      <w:r>
        <w:t>Il s'ensuit que le recours est rejeté.</w:t>
      </w:r>
    </w:p>
    <w:p>
      <w:r>
        <w:t>Le recourant a demandé l'octroi de l'assistance judiciaire ( art. 64 al. 1 LTF ). Au vu des circonstances, son recours n'était pas d'emblée dénué de chances de succès et cette requête doit être admise. Il y a lieu de désigner Me Arnaud Thièry en tant qu'avocat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