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176/2021 vom 29. April 2021</w:t>
      </w:r>
    </w:p>
    <w:p>
      <w:r>
        <w:t>Bundesgericht, 2021-04-29, DE</w:t>
      </w:r>
    </w:p>
    <w:p>
      <w:r>
        <w:rPr>
          <w:b/>
        </w:rPr>
        <w:t xml:space="preserve">Quelle: </w:t>
      </w:r>
      <w:r>
        <w:t>https://mcp.opencaselaw.ch/entscheid/bger_1B_176_2021</w:t>
      </w:r>
    </w:p>
    <w:p>
      <w:r>
        <w:t>FR: TF 1B 176/2021 du 29 avril 2021</w:t>
      </w:r>
    </w:p>
    <w:p>
      <w:r>
        <w:t>IT: TF 1B 176/2021 del 29 aprile 2021</w:t>
      </w:r>
    </w:p>
    <w:p>
      <w:pPr>
        <w:pStyle w:val="Heading2"/>
      </w:pPr>
      <w:r>
        <w:t>Regeste</w:t>
      </w:r>
    </w:p>
    <w:p>
      <w:r>
        <w:t>Strafverfahren | Strafprozess</w:t>
      </w:r>
    </w:p>
    <w:p>
      <w:pPr>
        <w:pStyle w:val="Heading2"/>
      </w:pPr>
      <w:r>
        <w:t>Erwägungen</w:t>
      </w:r>
    </w:p>
    <w:p>
      <w:r>
        <w:rPr>
          <w:b/>
        </w:rPr>
        <w:t>E. 1</w:t>
      </w:r>
    </w:p>
    <w:p>
      <w:r>
        <w:t>Die Staatsanwaltschaft Zürich-Limmat erliess im Strafverfahren gegen A.________ wegen Sachbeschädigung am 9. November 2020 einen Hausdurchsuchungs- und einen Vorführungsbefehl. Am 30. November 2020 erhob A.________ dagegen Beschwerde ans Obergericht des Kantons Zürich. Dieses trat darauf mit Beschluss vom 5. März 2021 nicht ein. Mit Beschwerde vom 5. März 2021 beantragt A.________ unter anderem, diesen Beschluss "für nichtig" zu erklären. 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Obergericht ist auf die Beschwerde mit der Begründung nicht eingetreten, die Beschwerdeführerin habe kein aktuelles Rechtsschutzinteresse an der Anfechtung bereits vollzogener Zwangsmassnahmen. Die Beschwerdeführerin setzt sich damit nicht auseinander und legt nicht dar, weshalb das Obergericht damit Bundesrecht verletzt haben könnte, und das ist auch nicht ersichtlich. Auf die Beschwerde ist wegen Verletzung der gesetzlichen Begründungspflicht nicht einzutreten, wobei auf die Erhebung von Kosten zu verzichten ist.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