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176/2019 vom 17. September 2019</w:t>
      </w:r>
    </w:p>
    <w:p>
      <w:r>
        <w:t>Bundesgericht, 2019-09-17, FR</w:t>
      </w:r>
    </w:p>
    <w:p>
      <w:r>
        <w:rPr>
          <w:b/>
        </w:rPr>
        <w:t xml:space="preserve">Quelle: </w:t>
      </w:r>
      <w:r>
        <w:t>https://mcp.opencaselaw.ch/entscheid/bger_1B_176_2019</w:t>
      </w:r>
    </w:p>
    <w:p>
      <w:r>
        <w:t>FR: TF 1B 176/2019 du 17 septembre 2019</w:t>
      </w:r>
    </w:p>
    <w:p>
      <w:r>
        <w:t>IT: TF 1B 176/2019 del 17 settembre 2019</w:t>
      </w:r>
    </w:p>
    <w:p>
      <w:pPr>
        <w:pStyle w:val="Heading2"/>
      </w:pPr>
      <w:r>
        <w:t>Regeste</w:t>
      </w:r>
    </w:p>
    <w:p>
      <w:r>
        <w:t>Procédure pénale; levée de scellés | Procédure pénale</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 Ne mettant pas un terme à la procédure pénale, la décision attaquée est de nature incidente. Elle est toutefois susceptible de causer un préjudice irréparable au sens de l' art. 93 al. 1 let. a LTF . En effet, dès lors que la demande de mise sous scellés a été déclarée tardive, les pièces concernées par celle-ci seront définitivement versées au dossier pénal, ce qui pourrait porter atteinte au secret bancaire invoqué (arrêt 1B_273/2015 du 21 janvier 2016 consid. 1.3). Le 12 mars 2019, la Chambre pénale de recours de la Cour de justice de la République et canton de Genève a levé le séquestre portant sur le compte du recourant détenu auprès de la société E.________. Le recourant conserve cependant un intérêt juridiquement protégé à l'examen de son recours contre l'ordonnance attaquée ( art. 81 al. 1 let. a et b LTF ). En effet, l'arrêt précité concerne la levée du séquestre portant sur les avoirs détenus sur le compte E.________ du recourant, mais n'ordonne pas la restitution de la documentation y relative; cette conclusion s'impose au regard des conclusions prises dans le mémoire de recours du 20 août 2018 ("annuler l'ordonnance rendue le 5 juin [recte juillet] 2018 [...] en tant qu'elle ordonne le séquestre conservatoire de tous les avoirs en compte [du recourant] auprès de E.________ et/ou E.________ [...], placements et safe compris, à concurrence de CHF 5'000'000.-"), ainsi que de la motivation retenue par la cour cantonale (absence d'avantage confiscable en tant que produit de l'infraction ou à titre de garantie d'une créance compensatrice [cf. consid. 2.4]). Pour le surplus, le recours a été déposé en temps utile ( art. 100 al. 1 LTF ) et les conclusions prises - tendant au renvoi de la cause afin qu'il soit entré en matière sur la demande de levée des scellés, respectivement sur les motifs avancés par le recourant pour s'y opposer - sont recevables ( art. 107 al. 2 LTF ). Partant, il y a lieu d'entrer en matière.</w:t>
      </w:r>
    </w:p>
    <w:p>
      <w:r>
        <w:rPr>
          <w:b/>
        </w:rPr>
        <w:t>E. 2</w:t>
      </w:r>
    </w:p>
    <w:p>
      <w:r>
        <w:t>Le recourant reproche à l'autorité précédente d'avoir considéré que sa demande de mise sous scellés du 13 août 2018 était tardive. Il se prévaut à cet égard d'un établissement arbitraire des faits, de violations de l' art. 248 al. 1 CPP , ainsi que de formalisme excessif.</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s.).</w:t>
      </w:r>
    </w:p>
    <w:p>
      <w:r>
        <w:rPr>
          <w:b/>
        </w:rPr>
        <w:t>E. 2.2</w:t>
      </w:r>
    </w:p>
    <w:p>
      <w:r>
        <w:t>Selon la jurisprudence, une demande de mise sous scellés doit être déposée immédiatement dès la connaissance d'un motif de mise sous scellés ( ATF 127 II 151 consid. 4c/aa p. 156; arrêt 1B_487/2018 du 6 février 2019 consid. 2.4). Une demande déposée plusieurs semaines ou mois après la mesure de saisie provisoire d'objets et/ou des documents est généralement tardive. En revanche, la requête formée une semaine plus tard peut, le cas échéant, avoir été déposée en temps utile. En tout état de cause, cette appréciation dépend avant tout des circonstances du cas d'espèce (arrêt 1B_85/2019 du 8 août 2019 consid. 4.2 et les arrêts cités).</w:t>
      </w:r>
    </w:p>
    <w:p>
      <w:r>
        <w:rPr>
          <w:b/>
        </w:rPr>
        <w:t>E. 2.3</w:t>
      </w:r>
    </w:p>
    <w:p>
      <w:r>
        <w:t>En l'occurrence, la question de savoir si l'invocation d'un secret suffit en soi pour que l'autorité de poursuite en déduise que toutes les pièces qui pourraient être concernées par cette protection devraient dès lors être placées sous scellés peut rester indécise. Il en va de même de savoir à partir de quel moment le recourant ou son mandataire a su que son compte auprès de la banque E.________ avait aussi fait l'objet d'une mesure de saisie. Certes, la demande de mise sous scellés du 11 juillet 2018 du recourant ne concernait expressément que les pièces de B.________ SA. Le Ministère public a pourtant, parallèlement à sa demande de levée des scellés du 2 août 2018, transmis immédiatement au Tmc - autorité compétente en matière de levée des scellés - tant la documentation remise par la banque susmentionnée que celle reçue de la banque E.________. Le Procureur a de plus conclu formellement à la levée de la mesure de protection des documents relatifs à la seconde banque. Au regard de ces circonstances très particulières, il y a lieu de retenir que les pièces de la banque E.________ ont été placées de facto sous scellés par le Ministère public. Vu le procès-verbal du 13 août 2018 du Tmc - établi a priori antérieurement à la réception de la demande du recourant de mise sous scellés des documents de la banque E.________ -, il apparaît que cette autorité considérait également que ces pièces bénéficiaient de cette protection. Peu importe dès lors de savoir si le Ministère public a procédé par erreur, ce que son courrier électronique du 16 août 2018 - au demeurant ultérieur à la requête de mise sous scellés du 13 août 2018 - semble laisser sous-entendre. Eu égard notamment au principe de bonne foi, il appartient en effet aux autorités de prendre acte des conséquences de leurs actions, y compris lorsque celles-ci sont peut-être lacunaires et/ou erronées (cf. en l'espèce les conclusions prises et les pièces transmises). Partant, en considérant que les pièces remises par la banque E.________ n'avaient pas été placées sous scellés vu la tardiveté de la requête du 13 août 2018, le Tmc viole l'interdiction du formalisme excessif et ce grief doit être admis.</w:t>
      </w:r>
    </w:p>
    <w:p>
      <w:r>
        <w:rPr>
          <w:b/>
        </w:rPr>
        <w:t>E. 3</w:t>
      </w:r>
    </w:p>
    <w:p>
      <w:r>
        <w:t>Quant à la requête tendant à l'anonymisation des publications et du rubrum en lien avec cette affaire, il convient de souligner que, selon l' art. 27 al. 2 LTF , les arrêts sont en principe publiés électroniquement sur le site du Tribunal fédéral sous une forme anonyme, de sorte que la mesure demandée par le recourant sur ce point découle déjà de la loi et est ainsi sans objet. En ce qui concerne la mise à disposition du dispositif des arrêts qui n'ont pas été prononcés en séance publique, l' art. 59 al. 3 LTF - complété par l'art. 60 du règlement du 20 novembre 2006 sur le Tribunal fédéral (RTF; RS 173.110.131) - prévoit que leur rubrum et leur dispositif sont mis à la disposition du public pendant trente jours ouvrables à compter de leur notification au siège du Tribunal fédéral, avec les noms des parties pour autant que la loi n'exige pas qu'ils soient rendus anonymes. Cette disposition, qui concrétise le principe du prononcé public du jugement, revêt un intérêt public important ( ATF 133 I 106 consid. 8.2 p. 108). En l'espèce, le recourant ne se prévaut d'aucune règle légale imposant que le dispositif soit porté de manière anonyme à la disposition du public. D'autres exceptions ne peuvent être admises que de manière très restrictive, lorsque le dispositif non anonymisé serait de nature à porter une atteinte particulièrement grave au droit de la personnalité (arrêt 2C_443/2019 du 23 mai 2019 consid. 6.2). Il appartient à celui demandant l'anonymisation de justifier et de motiver sa requête (arrêt 2C_799/2017 du 18 septembre 2018 consid. 7.2). A cet égard, le recourant ne s'oppose pas à la publication de son nom en raison de motifs personnels, mais dans le but de protéger les intérêts de ses employeurs; le recourant ne souhaite en effet pas que l'exercice de ses droits procéduraux les exposent davantage, ce que la divulgation de son nom engendrerait. Certes, tout risque d'identification de ses employeurs - notamment par le biais de recherches Internet - ne peut être d'emblée exclu; cela vaut en particulier lorsque l'affaire a été médiatisée. Cela étant et vu notamment le statut des personnes concernées (prévenus), l'éventuelle atteinte - inhérente au système de la publication - que constitue une possible identification ne saurait suffire pour obtenir l'anonymisation du rubrum. Partant, cette requête peut être rejetée.</w:t>
      </w:r>
    </w:p>
    <w:p>
      <w:r>
        <w:rPr>
          <w:b/>
        </w:rPr>
        <w:t>E. 4</w:t>
      </w:r>
    </w:p>
    <w:p>
      <w:r>
        <w:t>Il s'ensuit que le recours est admis. L'ordonnance attaquée est annulée dans la mesure où elle constate en relation avec les pièces concernant le recourant remises par la banque E.________ en exécution de l'ordonnance de séquestre du 5 juillet 2018 que la demande de mise sous scellés du 13 août 2018 était tardive, que ces pièces n'ont pas été placées sous scellés et que la demande de levée de cette mesure du 2 août 2018 était sans objet. Leur transmission à d'éventuels tiers est refusée, les pièces devant en l'état rester en mains du Tmc. La cause est renvoyée à l'autorité précédente pour qu'elle entre en matière sur la requête de levée des scellés du 2 août 2018. La requête tendant à une mise à disposition anonymisée de l'ensemble des publications, rubrum y compris, en lien avec l'affaire est rejetée, dans la mesure où elle n'est pas sans objet. Le recourant, qui obtient gain de cause sur la question principale, a droit à des dépens à la charge de la République et canton de Genève ( art. 68 al. 1 LTF ). Il n'y a pas lieu de percevoir de frais judiciaires ( art. 66 al. 4 LTF ). La requête d'effet suspensif est sans objet, dans la mesure d'ailleurs où celui-ci aurait existé au moment de son dépôt (cf. le dispositif du Tmc et ad 11 et 12 du mémoire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