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176/2015 vom 2. Juni 2015</w:t>
      </w:r>
    </w:p>
    <w:p>
      <w:r>
        <w:t>Bundesgericht, 2015-06-02, FR</w:t>
      </w:r>
    </w:p>
    <w:p>
      <w:r>
        <w:rPr>
          <w:b/>
        </w:rPr>
        <w:t xml:space="preserve">Quelle: </w:t>
      </w:r>
      <w:r>
        <w:t>https://mcp.opencaselaw.ch/entscheid/bger_1B_176_2015</w:t>
      </w:r>
    </w:p>
    <w:p>
      <w:r>
        <w:t>FR: TF 1B 176/2015 du 2 juin 2015</w:t>
      </w:r>
    </w:p>
    <w:p>
      <w:r>
        <w:t>IT: TF 1B 176/2015 del 2 giugno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conteste certains faits retenus par la cour cantonale.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137 I 58 consid. 4.1.2 p. 62; 137 III 226 consid. 4.2 p. 234; 136 II 304 consid. 2.4 p. 314)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2.2.1</w:t>
      </w:r>
    </w:p>
    <w:p>
      <w:r>
        <w:t>Le recourant conteste tout d'abord que les actes de violence survenus en 2013 dans le cadre de son conflit avec la plaignante constituent des antécédents qui puissent être retenus à sa charge. La cour cantonale aurait en effet omis de préciser que ces actes de violence ont à l'époque été réciproques. Cet élément n'est pas décisif. Ces coups suffisent à montrer le potentiel de violence du recourant, ce même s'ils n'étaient pas le résultat de son seul comportement. Les menaces du 9 février 2015 n'étant ensuite pas contestées, il est manifeste que le recourant peut se montrer violent unilatéralement.</w:t>
      </w:r>
    </w:p>
    <w:p>
      <w:r>
        <w:rPr>
          <w:b/>
        </w:rPr>
        <w:t>E. 2.2.2</w:t>
      </w:r>
    </w:p>
    <w:p>
      <w:r>
        <w:t>Le recourant conteste le profil psychologique que la cour cantonale a dressé de lui. Il critique tout d'abord les éléments retenus sur la base de l'audition de sa compagne actuelle. La cour cantonale aurait sorti certains propos de leur contexte et aurait omis d'en retenir d'autres, qui nuanceraient ces propos. Par cette critique, le recourant méconnaît que les déclarations de sa compagne actuelle ne sont qu'un élément d'appréciation parmi d'autres. Qu'elle n'ait jamais pu constater d'accès de violence ne démontre pas l'inexistence de telles humeurs. Quant aux déclarations selon lesquelles la plaignante pourrait être responsable "d'un coup monté", elles n'ont pas à être retenues dans la mesure où il ne s'agit que de pures spéculations. Comme le relève le recourant, sa compagne n'est pas en mesure de poser un diagnostic psychologique. Les juges cantonaux n'ont au demeurant jamais utilisé ses déclarations en ce sens. En résumé, ceux-ci ont simplement retenu les constatations de la compagne, à l'exclusion des jugements de valeur et spéculations émis par celle-ci. Contrairement à ce qu'affirme le recourant, tenir compte du fait qu'il ait occupé le service de police après avoir consommé de l'alcool et des médicaments est bien un élément objectif permettant de constater son instabilité. Pour le reste, l'absence de tout document médical confirmant un profil psychologique inquiétant ne saurait être critiquée vu l'expertise psychiatrique ordonnée par le Ministère public.</w:t>
      </w:r>
    </w:p>
    <w:p>
      <w:r>
        <w:rPr>
          <w:b/>
        </w:rPr>
        <w:t>E. 3</w:t>
      </w:r>
    </w:p>
    <w:p>
      <w:r>
        <w:t>Le recourant se plaint d'une violation de son droit d'être entendu en raison d'une motivation qu'il juge insuffisante dans l'arrêt attaqué concernant les raisons du refus de recourir à des mesures de substitution.</w:t>
      </w:r>
    </w:p>
    <w:p>
      <w:r>
        <w:rPr>
          <w:b/>
        </w:rPr>
        <w:t>E. 3.1</w:t>
      </w:r>
    </w:p>
    <w:p>
      <w:r>
        <w:t>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5A_878/2012 du 26 août 2013 consid. 3.1; 1C_246/2013 du 4 juin 2013 consid. 2.1).</w:t>
      </w:r>
    </w:p>
    <w:p>
      <w:r>
        <w:rPr>
          <w:b/>
        </w:rPr>
        <w:t>E. 3.2</w:t>
      </w:r>
    </w:p>
    <w:p>
      <w:r>
        <w:t>La cour cantonale s'est référée à son précédent arrêt par lequel elle avait une première fois refusé, en substitution à la détention provisoire, l'assignation du prévenu au domicile de sa mère avec surveillance par bracelet électronique, conjuguée à une interdiction de prendre contact avec la plaignante, sa famille et leur fille. Les juges cantonaux avaient alors considéré que, vu le profil instable du recourant et la gradation de ses actes de violence, la mesure n'était pas suffisante pour prévenir efficacement les risques de réitération. L'arrêt précisait que l'expertise psychiatrique permettrait de déterminer les éventuelles mesures adéquates. L'arrêt attaqué en l'espèce se réfère par ailleurs aux déclarations de l'actuelle compagne du recourant, selon lesquelles celui-ci est parfois obnubilé par le conflit l'opposant à la plaignante. S'il est vrai que ces motifs n'exposent pas concrètement en quoi l'assignation à domicile avec surveillance par bracelet électronique ne peut être ordonnée, on comprend toutefois implicitement que les juges cantonaux craignent que le comportement instable du recourant l'amène à agir de manière impulsive et cas échéant de récidiver, ce en dépit d'une mesure de surveillance électronique. Les considérants de l'arrêt attaqué, suffisamment compréhensibles, ne violent par conséquent pas le droit d'être entendu.</w:t>
      </w:r>
    </w:p>
    <w:p>
      <w:r>
        <w:rPr>
          <w:b/>
        </w:rPr>
        <w:t>E. 4</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5</w:t>
      </w:r>
    </w:p>
    <w:p>
      <w:r>
        <w:t>Le recourant conteste l'existence de forts soupçons à son encontre au sens de l' art. 221 al. 1 CPP .</w:t>
      </w:r>
    </w:p>
    <w:p>
      <w:r>
        <w:rPr>
          <w:b/>
        </w:rPr>
        <w:t>E. 5.1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 Selon la jurisprudence, le cas de figure dans lequel deux versions des faits s'opposent n'impose pas nécessairement, du seul fait du principe "in dubio pro reo", une libération du prévenu. Le juge de la détention qui, sur la base d'une appréciation sommaire des preuves, tient les déclarations d'une victime présumée pour plus crédibles que celles du prévenu et considère ainsi qu'une condamnation apparaît vraisemblable ne viole pas le droit fédéral ( ATF 137 IV 122 consid. 3.3 p. 127; arrêts 1B_171/2015 du 27 mai 2015 consid. 5.4.1; 1B_31/2015 du 16 février 2015 consid. 3.2).</w:t>
      </w:r>
    </w:p>
    <w:p>
      <w:r>
        <w:rPr>
          <w:b/>
        </w:rPr>
        <w:t>E. 5.2</w:t>
      </w:r>
    </w:p>
    <w:p>
      <w:r>
        <w:t>En l'occurrence, le recourant a tout d'abord admis s'être rendu le 9 février 2015 au domicile de la plaignante muni d'un couteau pour y "régler ses comptes". S'agissant des autres chefs de prévention, pour tenter de discréditer les déclarations de la plaignante, le recourant revient de manière appellatoire sur un acte de diffamation de la part de celle-ci dont il aurait été victime. Il ressort toutefois du dossier que le recourant a lui-même divergé dans des déclarations relatives à des actes de violences précédents à l'égard de son ancienne compagne. De plus, en l'espèce, outre les déclarations de la plaignante, celles de témoins ayant en partie assisté à la dispute du 3 mars 2015 ont également été prises en compte par les juges cantonaux. Si ces témoins n'ont certes pas pu identifier formellement le recourant, l'enquête n'a pas non plus permis de démontrer que le recourant se trouvait ailleurs au moment de l'agression. Après quelques mois d'instruction, rien n'est venu infirmer les déclarations de la victime qui, en l'état et vu le contexte (obsession du recourant pour le conflit l'opposant à la plaignante, comportement instable, actes de violence reconnus), apparaissent plus crédibles que celles du recourant. Il n'y a ainsi pas lieu de s'écarter de l'appréciation des juges cantonaux selon laquelle il existe des indices sérieux de culpabilité.</w:t>
      </w:r>
    </w:p>
    <w:p>
      <w:r>
        <w:rPr>
          <w:b/>
        </w:rPr>
        <w:t>E. 6</w:t>
      </w:r>
    </w:p>
    <w:p>
      <w:r>
        <w:t>Dans un grief distinct, le recourant se plaint d'une violation de l' art. 221 al. 1 let . c CPP. Il conteste que le risque de réitération retenu par les instances précédentes soit réalisé.</w:t>
      </w:r>
    </w:p>
    <w:p>
      <w:r>
        <w:rPr>
          <w:b/>
        </w:rPr>
        <w:t>E. 6.1</w:t>
      </w:r>
    </w:p>
    <w:p>
      <w:r>
        <w:t>Aux termes de l' art. 221 al. 1 let . c CPP, la détention provisoire ou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6.2</w:t>
      </w:r>
    </w:p>
    <w:p>
      <w:r>
        <w:t>La cour cantonale a relevé à juste titre que les actes de violence présumés avaient graduellement pris de l'ampleur. Le recourant a lui-même admis des épisodes de violence à l'égard de son ancienne compagne. Ces faits peuvent ainsi être tenus pour pertinents quand bien même, par suite de retrait de plainte, aucune condamnation ne s'en serait suivie, l'existence d'antécédents judiciaires au sens strict du terme n'étant pas un critère impératif. Au fil du temps, le recourant s'en est par ailleurs également pris à l'entourage de la plaignante. Il a proféré des menaces de mort - qu'il a reconnues -, se montrant alors avec un couteau à la main. De telles circonstances laissent entrevoir un sérieux risque qu'il s'en prenne à nouveau à la plaignante ou à ses proches.</w:t>
      </w:r>
    </w:p>
    <w:p>
      <w:r>
        <w:rPr>
          <w:b/>
        </w:rPr>
        <w:t>E. 7</w:t>
      </w:r>
    </w:p>
    <w:p>
      <w:r>
        <w:t>Le recourant fait valoir une violation du principe de proportionnalité, les mesures qu'il proposait alternativement à la détention n'ayant - à tort, selon lui - pas été retenues.</w:t>
      </w:r>
    </w:p>
    <w:p>
      <w:r>
        <w:rPr>
          <w:b/>
        </w:rPr>
        <w:t>E. 7.1</w:t>
      </w:r>
    </w:p>
    <w:p>
      <w:r>
        <w:t>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ou l'interdiction d'entretenir des relations avec certaines personnes (let. g). Pour surveiller l'exécution de ces mesures, le tribunal peut ordonner l'utilisation d'appareils techniques qui peuvent être fixés à la personne sous surveillance (al. 3).</w:t>
      </w:r>
    </w:p>
    <w:p>
      <w:r>
        <w:rPr>
          <w:b/>
        </w:rPr>
        <w:t>E. 7.2</w:t>
      </w:r>
    </w:p>
    <w:p>
      <w:r>
        <w:t>Vu le caractère instable du recourant et sa rancoeur à l'égard de la plaignante relevés par les instances précédentes, on ne peut exclure qu'il fasse à nouveau preuve de violence - verbale ou physique - envers celle-ci ou son entourage. Il existe en effet un risque que le recourant, décrit par sa compagne actuelle comme quelqu'un d'humeur changeante, passe à l'acte de manière impulsive. Dans de telles conditions, ni une assignation à domicile ni un suivi par bracelet électronique ne sauraient assurer que les forces de l'ordre puissent intervenir suffisamment rapidement à titre préventif. Les mesures de substitution proposées par le recourant n'apparaissent pas non plus envisageables au vu du risque de collusion relevé par le Tmc. Non détenu, le recourant serait en mesure d'entrer en contact avec d'éventuels témoins et de tenter de les influencer.</w:t>
      </w:r>
    </w:p>
    <w:p>
      <w:r>
        <w:rPr>
          <w:b/>
        </w:rPr>
        <w:t>E. 8</w:t>
      </w:r>
    </w:p>
    <w:p>
      <w:r>
        <w:t>Il résulte de ce qui précède que le recours doit être rejeté. Les conditions posées à l' art. 64 al. 1 LTF étant réunies, il convient de mettre le recourant au bénéfice de l'assistance judiciaire, de lui désigner Me Christophe Tafelmacher comme avocat d'office et d'allouer à celui-ci une indemnité à titre d'honoraires, qui sera supportée par la caisse du tribunal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