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1B_175/2017 vom 13. Juli 2017</w:t>
      </w:r>
    </w:p>
    <w:p>
      <w:r>
        <w:t>Bundesgericht, 2017-07-13, DE</w:t>
      </w:r>
    </w:p>
    <w:p>
      <w:r>
        <w:rPr>
          <w:b/>
        </w:rPr>
        <w:t xml:space="preserve">Quelle: </w:t>
      </w:r>
      <w:r>
        <w:t>https://mcp.opencaselaw.ch/entscheid/bger_1B_175_2017</w:t>
      </w:r>
    </w:p>
    <w:p>
      <w:r>
        <w:t>FR: TF 1B_175/2017 du 13 juillet 2017</w:t>
      </w:r>
    </w:p>
    <w:p>
      <w:r>
        <w:t>IT: TF 1B_175/2017 del 13 luglio 2017</w:t>
      </w:r>
    </w:p>
    <w:p>
      <w:pPr>
        <w:pStyle w:val="Heading2"/>
      </w:pPr>
      <w:r>
        <w:t>Erwägungen</w:t>
      </w:r>
    </w:p>
    <w:p>
      <w:r>
        <w:rPr>
          <w:b/>
        </w:rPr>
        <w:t>E. 1.1</w:t>
      </w:r>
    </w:p>
    <w:p>
      <w:r>
        <w:t>Angefochten ist ein kantonal letztinstanzlicher Entscheid über die Vereinigung zweier Strafverfahren. Dagegen ist die Beschwerde in Strafsachen grundsätzlich bzw. unter Vorbehalt der weiteren Sachurteilsvoraussetzungen zulässig ( Art. 78 Abs. 1, Art. 80 BGG ).</w:t>
      </w:r>
    </w:p>
    <w:p>
      <w:r>
        <w:rPr>
          <w:b/>
        </w:rPr>
        <w:t>E. 1.2</w:t>
      </w:r>
    </w:p>
    <w:p>
      <w:r>
        <w:t>Die Beschwerde, welche die Vereinigung der beiden Strafverfahren verlangt, ist mit der Einstellung eines der beiden Verfahren am 23. Mai 2017 gegenstandslos geworden.</w:t>
      </w:r>
    </w:p>
    <w:p>
      <w:r>
        <w:rPr>
          <w:b/>
        </w:rPr>
        <w:t>E. 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w:t>
      </w:r>
    </w:p>
    <w:p>
      <w:r>
        <w:t>Vorliegend hat der Beschwerdeführer mit dem Abschluss des Vergleichs für die Gegenstandslosigkeit des Verfahrens gesorgt und es anschliessend unterlassen, die Beschwerde zurückzuziehen, was bei dieser Sachlage geboten gewesen wäre. Er wird damit kostenpflichtig. Eine Parteientschädigung an die Gegenpartei ist nicht geschuldet, da sie keinen wesentlichen Aufwand betrieb.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