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172/2021 vom 24. Juni 2021</w:t>
      </w:r>
    </w:p>
    <w:p>
      <w:r>
        <w:t>Bundesgericht, 2021-06-24, DE</w:t>
      </w:r>
    </w:p>
    <w:p>
      <w:r>
        <w:rPr>
          <w:b/>
        </w:rPr>
        <w:t xml:space="preserve">Quelle: </w:t>
      </w:r>
      <w:r>
        <w:t>https://mcp.opencaselaw.ch/entscheid/bger_1B_172_2021</w:t>
      </w:r>
    </w:p>
    <w:p>
      <w:r>
        <w:t>FR: TF 1B 172/2021 du 24 juin 2021</w:t>
      </w:r>
    </w:p>
    <w:p>
      <w:r>
        <w:t>IT: TF 1B 172/2021 del 24 giugno 2021</w:t>
      </w:r>
    </w:p>
    <w:p>
      <w:pPr>
        <w:pStyle w:val="Heading2"/>
      </w:pPr>
      <w:r>
        <w:t>Regeste</w:t>
      </w:r>
    </w:p>
    <w:p>
      <w:r>
        <w:t>Öffentlichkeit der Berufungsverhandlung (Auflagen) | Strafprozess</w:t>
      </w:r>
    </w:p>
    <w:p>
      <w:pPr>
        <w:pStyle w:val="Heading2"/>
      </w:pPr>
      <w:r>
        <w:t>Erwägungen</w:t>
      </w:r>
    </w:p>
    <w:p>
      <w:r>
        <w:rPr>
          <w:b/>
        </w:rPr>
        <w:t>E. 1.1</w:t>
      </w:r>
    </w:p>
    <w:p>
      <w:r>
        <w:t>Gegen den angefochtenen Entscheid steht gemäss Art. 78 Abs. 1 BGG die Beschwerde in Strafsachen offen. Die Vorinstanz hat gemäss Art. 59 Abs. 1 lit. b StPO als einzige kantonale Instanz entschieden. Die Beschwerde ist somit nach Art. 80 BGG grundsätzlich zulässig.</w:t>
      </w:r>
    </w:p>
    <w:p>
      <w:r>
        <w:rPr>
          <w:b/>
        </w:rPr>
        <w:t>E. 1.2</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S. 299). Mit diesem Erfordernis soll sichergestellt werden, dass das Gericht konkrete und nicht bloss theoretische Fragen entscheidet ( BGE 140 IV 74 E. 1.3.1 S. 77). Fällt das schutzwürdige Interesse im Laufe des Verfahrens dahin, wird die Sache als erledigt erklärt.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w:t>
      </w:r>
    </w:p>
    <w:p>
      <w:r>
        <w:rPr>
          <w:b/>
        </w:rPr>
        <w:t>E. 1.3</w:t>
      </w:r>
    </w:p>
    <w:p>
      <w:r>
        <w:t>Angesichts des Umstands, dass das Berufungsverfahren infolge Rückzugs der Berufung nicht mehr weitergeführt wird, besitzt der Beschwerdeführer kein aktuelles und praktisches Interesse mehr an der Aufhebung oder Abänderung des vorinstanzlichen Urteils. Vorliegend rechtfertigt es sich auch nicht, auf das Erfordernis des aktuellen Rechtsschutzinteresses zu verzichten. Zwar könnten sich die hier stellenden Rechtsfragen in künftigen Verfahren möglicherweise in gleicher oder ähnlicher Form erneut stellen, doch wird eine Berufungsverhandlung üblicherweise weitergeführt, sodass ein Gericht in der Regel die Möglichkeit hat, die Zulässigkeit von Auflagen zur Öffentlichkeit der Berufungsverhandlung zu überprüfen. Demnach ist die Beschwerde mit einzelrichterlichem Entscheid als gegenstandslos geworden abzuschreiben ( Art. 32 Abs. 2 BGG ).</w:t>
      </w:r>
    </w:p>
    <w:p>
      <w:r>
        <w:rPr>
          <w:b/>
        </w:rPr>
        <w:t>E. 2</w:t>
      </w:r>
    </w:p>
    <w:p>
      <w:r>
        <w:t>Angesichts der besonderen Umstände, die vorliegend zur Abschreibung führen, sieht das Bundesgericht davon ab, Gerichtskosten zu erheben ( Art. 66 Abs. 1 BGG ). Soweit sie sich überhaupt zu dieser Frage äussern, machen die Verfahrensbeteiligten angesichts des frühen Verfahrensstadiums und der erst geringen Kosten keine Parteientschädigungen geltend. Es rechtfertigt sich vor diesem Hintergrund, auch keine Parteientschädigungen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