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1B_172/2015 vom 28. Mai 2015</w:t>
      </w:r>
    </w:p>
    <w:p>
      <w:r>
        <w:t>Bundesgericht, 2015-05-28, FR</w:t>
      </w:r>
    </w:p>
    <w:p>
      <w:r>
        <w:rPr>
          <w:b/>
        </w:rPr>
        <w:t xml:space="preserve">Quelle: </w:t>
      </w:r>
      <w:r>
        <w:t>https://mcp.opencaselaw.ch/entscheid/bger_1B_172_2015</w:t>
      </w:r>
    </w:p>
    <w:p>
      <w:r>
        <w:t>FR: TF 1B_172/2015 du 28 mai 2015</w:t>
      </w:r>
    </w:p>
    <w:p>
      <w:r>
        <w:t>IT: TF 1B_172/2015 del 28 maggio 2015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w:t>
      </w:r>
    </w:p>
    <w:p>
      <w:r>
        <w:rPr>
          <w:b/>
        </w:rPr>
        <w:t>E. 1.1</w:t>
      </w:r>
    </w:p>
    <w:p>
      <w:r>
        <w:t>Le recours a été formé à l'échéance du délai fixé à l' art. 100 al. 1 LTF contre une décision prise en dernière instance cantonale (233 CPP et art. 80 LTF ). Le recourant, dont la détention provisoire a été prolongée, a qualité pour agir (art. 81 al. 1 let. a et b ch. 1 LTF) et les conclusions présentées sont recevables au regard de l' art. 107 al. 2 LTF .</w:t>
      </w:r>
    </w:p>
    <w:p>
      <w:r>
        <w:rPr>
          <w:b/>
        </w:rPr>
        <w:t>E. 1.2</w:t>
      </w:r>
    </w:p>
    <w:p>
      <w:r>
        <w:t>Conformément à l' art. 105 al. 1 LTF , le Tribunal fédéral statue sur la base des faits établis par l'autorité précédente, sous réserve de l' art. 105 al. 2 LTF qui n'est pas invoqué en l'occurrence. Selon l' art. 99 al. 1 LTF , les faits nouveaux ou les preuves nouvelles sont irrecevables. Dès lors, il n'y a pas lieu de tenir compte des allégations de fait qui ne ressortent pas de l'arrêt attaqué, que celles-ci émanent du recourant ou du Ministère public.</w:t>
      </w:r>
    </w:p>
    <w:p>
      <w:r>
        <w:rPr>
          <w:b/>
        </w:rPr>
        <w:t>E. 2</w:t>
      </w:r>
    </w:p>
    <w:p>
      <w:r>
        <w:t>Le recourant estime qu'il n'y aurait pas de soupçons sérieux au sens de l' art. 221 al. 1 CPP . Il reconnaît que les déclarations de C.________ pouvaient dans un premier temps suffire, mais tel ne serait plus le cas après les premières investigations: la victime ne l'avait pas reconnu sur les photos et n'avait pas remarqué sa particularité physique (un moignon à l'avant-bras gauche). Son ADN n'avait pas été retrouvée. L'activité de guetteur évoquée par la cour cantonale - et non retenue par le Ministère public - ne coïnciderait ni avec les déclarations de C.________, ni avec la surveillance téléphonique qui fait ressortir une activité intense, y compris après le brigandage. Ses propres déclarations ne contiendraient pas de contradiction, dans la mesure où il avait précisé ne pas s'être trouvé à La Chaux-de-Fonds sauf en cas de vacances.</w:t>
      </w:r>
    </w:p>
    <w:p>
      <w:r>
        <w:rPr>
          <w:b/>
        </w:rPr>
        <w:t>E. 2.1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2.2</w:t>
      </w:r>
    </w:p>
    <w:p>
      <w:r>
        <w:t>Le recourant se trouve clairement mis en cause par C.________: E.________ lui aurait affirmé qu'il avait commis le brigandage du 23 septembre 2014 avec le recourant, et qu'il envisageait de recommencer mais ne pouvait se montrer devant la victime qui pourrait les reconnaître. C.________ a également donné des précisions sur l'âge de la victime, ses liens avec la drogue, l'emplacement de l'appartement et la configuration des lieux. L'ADN de E.________ (mais non celle du recourant) a effectivement été retrouvée. Arrêté en possession d'une arme, C.________ n'avait a priori guère d'intérêt à évoquer des agissements commis presque cinq mois auparavant, ni d'ailleurs à faire part d'intentions délictueuses supplémentaires.</w:t>
      </w:r>
    </w:p>
    <w:p>
      <w:r>
        <w:t>La présence du recourant à La Chaux-de-Fonds le jour du brigandage est attestée par les rétroactifs téléphoniques, et le recourant n'a pas donné d'explication quant à son déplacement dans cette ville ce jour-là. Les arguments à décharge invoqués ne sont pas propres à le mettre hors de cause. Même si, comme l'envisage la cour cantonale, le recourant ne fait pas partie des personnes qui ont directement agressé la victime, sa participation à un autre titre (une activité de guetteur, d'ailleurs également évoquée pour le brigandage à venir) apparaît possible et compatible avec ses nombreux appels téléphoniques. En l'état, il n'est pas démontré que ces appels auraient eu lieu depuis des endroits différents. En définitive, même si elles ne se sont pas notablement renforcées depuis la mise en cause initiale, les charges apparaissent suffisantes.</w:t>
      </w:r>
    </w:p>
    <w:p>
      <w:r>
        <w:rPr>
          <w:b/>
        </w:rPr>
        <w:t>E. 3</w:t>
      </w:r>
    </w:p>
    <w:p>
      <w:r>
        <w:t>La cour cantonale a retenu que le risque de fuite n'était pas suffisant, considérant que le recourant était au bénéfice d'un permis B, que sa mère et sa soeur vivaient en Suisse. Il suivait une formation dans une école professionnelle et ses problèmes de santé (cancer en rémission, problèmes de genou, pose d'une prothèse de main gauche) étaient pris en charge, de sorte qu'il avait un intérêt à demeurer en Suisse en dépit des charges retenues contre lui. En revanche, un risque de collusion a été retenu: des investigations devaient être menées au sujet de la participation du recourant à l'agression du 23 septembre 2014. Tout comme E.________, le recourant n'avait pas collaboré à l'enquête et il était probable qu'il tente d'influencer C.________ afin qu'il revienne sur ses déclarations.</w:t>
      </w:r>
    </w:p>
    <w:p>
      <w:r>
        <w:rPr>
          <w:b/>
        </w:rPr>
        <w:t>E. 3.1</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preuves ( art. 221 al. 1 let. b CPP ).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présumé dans l'infraction ainsi que ses liens avec les autres prévenus ( ATF 137 IV 122 consid. 4.2 p. 127 s.; 132 I 21 consid. 3.2 p. 23 et les références citées).</w:t>
      </w:r>
    </w:p>
    <w:p>
      <w:r>
        <w:rPr>
          <w:b/>
        </w:rPr>
        <w:t>E. 3.2</w:t>
      </w:r>
    </w:p>
    <w:p>
      <w:r>
        <w:t>Les déclarations de C.________ constituent encore le principal élément à charge contre le recourant (contrairement à ce que soutient le recourant, les autorités ne se réfèrent pas sur ce point à une autre procédure pénale). Il est dès lors à craindre qu'une fois remis en liberté, celui-ci ne tente d'obtenir un revirement en sa faveur en usant de tout moyen de pression. Le risque de collusion apparaît indéniable, tant que le rôle des différents participants n'aura pas été établi et que ceux-ci n'ont pas été formellement confrontés. Comme le relève la cour cantonale, les visites que reçoit le recourant en prison ne présentent pas sur ce point le même risque qu'une mise en liberté. Le grief doit lui aussi être écarté.</w:t>
      </w:r>
    </w:p>
    <w:p>
      <w:r>
        <w:rPr>
          <w:b/>
        </w:rPr>
        <w:t>E. 4</w:t>
      </w:r>
    </w:p>
    <w:p>
      <w:r>
        <w:t>Invoquant l' art. 212 CPP , le recourant estime que sa mise en liberté aurait dû être ordonnée moyennant des mesures de substitution. Il estime qu'une interdiction de se rendre dans un périmètre déterminé suffirait à prévenir le risque de collusion.</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l'assignation à résidence, l'interdiction de se rendre dans un certain lieu ou un certain immeuble (let. c) et l'interdiction d'entretenir des relations avec certaines personnes (let. g).</w:t>
      </w:r>
    </w:p>
    <w:p>
      <w:r>
        <w:rPr>
          <w:b/>
        </w:rPr>
        <w:t>E. 4.2</w:t>
      </w:r>
    </w:p>
    <w:p>
      <w:r>
        <w:t>Lorsque le maintien en détention est justifié par le seul danger de collusion, une interdiction d'approcher certaines personnes ou de se rendre dans un certain périmètre peut dans certains cas suffire à prévenir le risque. Tel est notamment le cas lorsque les déclarations à charge émanent de la victime elle-même ( ATF 137 IV 122 ), puisque l'on peut attendre de celle-ci qu'elle signale spontanément et immédiatement à l'autorité toute tentative de prise de contact ou d'intimidation. Il en va différemment en l'espèce, dès lors que la mise en cause du recourant émane d'un co-prévenu et que rien ne permet de présumer des réactions de celui-ci si le recourant tentait de l'intimider, de l'influencer ou de négocier un revirement. Dans ces circonstances, une simple interdiction peut facilement être contournée et n'apparaît pas comme une mesure suffisamment efficace.</w:t>
      </w:r>
    </w:p>
    <w:p>
      <w:r>
        <w:rPr>
          <w:b/>
        </w:rPr>
        <w:t>E. 5</w:t>
      </w:r>
    </w:p>
    <w:p>
      <w:r>
        <w:t>Sur le vu de ce qui précède, le recours est rejeté. Le recourant a demandé l'assistance judiciaire et les conditions en paraissent réunies ( art. 64 al. 1 LTF ). Il y a lieu de désigner Me Johnny Dousse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