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171/2019 vom 8. Mai 2019</w:t>
      </w:r>
    </w:p>
    <w:p>
      <w:r>
        <w:t>Bundesgericht, 2019-05-08, FR</w:t>
      </w:r>
    </w:p>
    <w:p>
      <w:r>
        <w:rPr>
          <w:b/>
        </w:rPr>
        <w:t xml:space="preserve">Quelle: </w:t>
      </w:r>
      <w:r>
        <w:t>https://mcp.opencaselaw.ch/entscheid/bger_1B_171_2019</w:t>
      </w:r>
    </w:p>
    <w:p>
      <w:r>
        <w:t>FR: TF 1B 171/2019 du 8 mai 2019</w:t>
      </w:r>
    </w:p>
    <w:p>
      <w:r>
        <w:t>IT: TF 1B 171/2019 del 8 maggio 2019</w:t>
      </w:r>
    </w:p>
    <w:p>
      <w:pPr>
        <w:pStyle w:val="Heading2"/>
      </w:pPr>
      <w:r>
        <w:t>Regeste</w:t>
      </w:r>
    </w:p>
    <w:p>
      <w:r>
        <w:t>Détention provisoire | Procédure pénale</w:t>
      </w:r>
    </w:p>
    <w:p>
      <w:pPr>
        <w:pStyle w:val="Heading2"/>
      </w:pPr>
      <w:r>
        <w:t>Erwägungen</w:t>
      </w:r>
    </w:p>
    <w:p>
      <w:r>
        <w:rPr>
          <w:b/>
        </w:rPr>
        <w:t>E. 1</w:t>
      </w:r>
    </w:p>
    <w:p>
      <w:r>
        <w:t>Les décisions relatives au maintien en détention avant jugement sont des décisions en matière pénale au sens de l' art. 78 al. 1 LTF (cf. ATF 133 I 270 consid. 1.1 p. 273), susceptibles de causer un préjudice irréparable ( ATF 138 IV 92 consid. 1.2 p. 94; 137 IV 237 consid. 1.1 p. 240). Conformément à l'art. 81 al. 1 let. b ch. 3, l'accusateur public a la qualité pour recourir. Le recours émane de l'Office régional du Valais central du Ministère public et a été approuvé par le Procureur général de sorte qu'il a été valablement déposé au regard de cette disposition. Pour le surplus, formé en temps utile ( art. 100 al. 1 LTF ) contre une décision prise en dernière instance cantonale ( art. 80 LTF ), le recours est recevable.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3</w:t>
      </w:r>
    </w:p>
    <w:p>
      <w:r>
        <w:t>Le Ministère public conteste que le risque de récidive présenté par le recourant tel que relevé par la cour cantonale puisse être écarté par des mesures de substitution.</w:t>
      </w:r>
    </w:p>
    <w:p>
      <w:r>
        <w:rPr>
          <w:b/>
        </w:rPr>
        <w:t>E. 3.1</w:t>
      </w:r>
    </w:p>
    <w:p>
      <w:r>
        <w:t>En vertu du principe de proportionnalité ancré à l' art. 36 al. 3 Cst. , l'autorité doit tenter autant que possible de substituer à la détention toute autre mesure moins incisive propre à atteindre le même résultat ( ATF 133 I 270 consid. 2.2 p. 276). Le Code de procédure pénale le prévoit expressément à l'art. 237, en énumérant certaines mesures de substitution telle que l'assignation à résidence ( art. 237 al. 2 let . c CPP) ou l'obligation de se soumettre à un traitement médical ou à des contrôles ( art. 237 al. 2 let . f CPP). Conformément à l' art. 237 al. 5 CPP , le tribunal peut en tout temps révoquer les mesures de substitution, en ordonner d'autres ou prononcer la détention provisoire si des faits nouveaux l'exigent ou si le prévenu ne respecte pas les obligations qui lui ont été imposées. Un placement en institution avant un jugement au fond n'est en principe pas exclu; la liste des mesures de substitution énoncée à l' art. 237 CPP n'est en effet pas exhaustive ( ATF 142 IV 367 consid. 2.1 p. 370) et rien ne s'oppose à un tel placement, combiné le cas échéant avec d'autres mesures, si cela permet d'atteindre le même but que la détention. Une telle mesure doit cependant reposer sur un avis d'expert (arrêts 1B_3/2019 du 17 janvier 2019 consid. 3.2; 1B_100/2016 du 5 avril 2016 consid. 3.2; 1B_654/2011 du 7 décembre 2011 consid. 4.2 in Plaidoyer 2012 p. 51). Il est en outre nécessaire, pour qu'un placement institutionnel puisse être ordonné à titre de mesure de substitution, que l'avis d'expert porte spécifiquement sur l'opportunité de mettre en oeuvre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oeuvre en tant que mesure de substitution au sens de l' art. 237 CPP , mais est susceptible de faire l'objet d'une exécution anticipée de mesures selon l' art. 236 CPP (arrêt 1B_294/2015 du 23 septembre 2015 consid. 2.2 et 2.4), cette démarche supposant alors une demande du prévenu en ce sens et l'accord de la direction de la procédure (cf. art. 236 al. 1 CPP ). Au demeurant, le choix d'une mesure au sens des art. 59 ss CP relève en principe du juge du fond. Une mesure de substitution ayant les caractéristiques d'une mesure au sens des art. 59 ss CP ne peut ainsi être ordonnée par le juge de la détention sans que toutes les conditions en soient a priori assurées (arrêts 1B_317/2017 du 15 août 2017 consid. 2.2.2 in fine; 1B_538/2017 du 26 janvier 2018 consid. 6.2 in fine).</w:t>
      </w:r>
    </w:p>
    <w:p>
      <w:r>
        <w:rPr>
          <w:b/>
        </w:rPr>
        <w:t>E. 3.2</w:t>
      </w:r>
    </w:p>
    <w:p>
      <w:r>
        <w:t>Il ressort des rapports d'expertise établis les 13 février 2018 et 8 janvier 2019 qu'au moment de déterminer l'opportunité d'ordonner une mesure au sens des art. 59 ss CP , les experts ont suggéré la mise en oeuvre d'un traitement institutionnel en milieu ouvert en relation avec les troubles psychiques constatés chez le prévenu. Dans les deux rapports, cette proposition était formulée à la condition expresse que l'intéressé soit reconnu coupable des faits qui lui sont reprochés (cf. rapport du 13 février 2018, question 4.4, p. 30; rapport du 8 janvier 2019, question 4.3, p. 35), avec la précision - s'agissant du rapport du 8 janvier 2019 - que le traitement institutionnel ne pourrait intervenir qu'après un traitement ambulatoire effectué au cours d'une exécution d'une éventuelle peine (cf. rapport du 8 janvier 2019, question 4.4, p. 36). On ne saurait en revanche déduire des rapports d'expertise qu'un traitement institutionnel de l'intéressé avant jugement est préconisé, ni qu'un tel traitement puisse en l'état être suffisant pour prévenir le risque de récidive présenté actuellement par l'intimé, qualifié d'élevé par les experts B.________ et I.________ (cf. rapport du 8 janvier 2019, question 3.1, p. 34). De surcroît, l'intimé, qui conteste les faits reprochés et n'a pas requis une exécution anticipée de mesures (cf. art. 236 al. 1 CPP ), ne s'est pas engagé de façon particulière ne serait-ce que dans la mise en oeuvre d'un suivi psychiatrique. En outre, ainsi que cela ressort du second rapport d'expertise (cf. rapport du 8 janvier 2019, question 4.6, p. 36: "M. A.________ indique accepter tous types de suivis et contrôles ambulatoires dans le but de quitter la détention"), le placement institutionnel et le suivi médical proposés par l'intéressé semblent représenter, en l'état, avant tout un moyen pour ce dernier de mettre fin à sa détention provisoire. Dans ce contexte, il est pertinent que la décision relative à un placement et un traitement thérapeutique éventuels soit prise au moment du jugement au fond. Par ailleurs, aucune autre mesure de substitution ne paraît propre à écarter le risque de récidive, l'assignation de l'intimé à résidence, même accompagnée d'une surveillance électronique et de contrôles d'abstinence à l'alcool, n'étant pas pertinente en l'espèce, dès lors que c'est précisément à son domicile que l'intéressé aurait commis les faits qui lui sont reprochés. Enfin, du point de vue temporel, le principe de proportionnalité demeure respecté, compte tenu de la gravité des infractions pour lesquelles l'intimé a été mis en prévention et de la durée de la détention provisoire déjà subie. Il n'y a du reste aucune raison de penser que l'enquête ne va pas arriver rapidement à son terme. Il s'ensuit qu'en l'état, le maintien en détention de l'intimé se justifie.</w:t>
      </w:r>
    </w:p>
    <w:p>
      <w:r>
        <w:rPr>
          <w:b/>
        </w:rPr>
        <w:t>E. 4</w:t>
      </w:r>
    </w:p>
    <w:p>
      <w:r>
        <w:t>Le recours doit donc être admis. L'ordonnance attaquée est annulée et la cause renvoyée à la Chambre pénale pour nouvelle décision. Il n'y a pas lieu de percevoir des frais judiciaires ( art. 66 al. 4 LTF ), ni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