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1B_170/2020 vom 9. April 2020</w:t>
      </w:r>
    </w:p>
    <w:p>
      <w:r>
        <w:t>Bundesgericht, 2020-04-09, DE</w:t>
      </w:r>
    </w:p>
    <w:p>
      <w:r>
        <w:rPr>
          <w:b/>
        </w:rPr>
        <w:t xml:space="preserve">Quelle: </w:t>
      </w:r>
      <w:r>
        <w:t>https://mcp.opencaselaw.ch/entscheid/bger_1B_170_2020</w:t>
      </w:r>
    </w:p>
    <w:p>
      <w:r>
        <w:t>FR: TF 1B_170/2020 du 9 avril 2020</w:t>
      </w:r>
    </w:p>
    <w:p>
      <w:r>
        <w:t>IT: TF 1B_170/2020 del 9 aprile 2020</w:t>
      </w:r>
    </w:p>
    <w:p>
      <w:pPr>
        <w:pStyle w:val="Heading2"/>
      </w:pPr>
      <w:r>
        <w:t>Erwägungen</w:t>
      </w:r>
    </w:p>
    <w:p>
      <w:r>
        <w:rPr>
          <w:b/>
        </w:rPr>
        <w:t>E. 1.1</w:t>
      </w:r>
    </w:p>
    <w:p>
      <w:r>
        <w:t>Mit Verfügung D-8/2019/10036755 vom 22. Januar 2020 hat die Staatsanwaltschaft Zürich-Limmat das Strafverfahren gegen B.________, C.________, D.________, E.________, F.________, G.________ und H.________ wegen übler Nachrede zum Nachteil von A.________ nicht an die Hand genommen.</w:t>
      </w:r>
    </w:p>
    <w:p>
      <w:r>
        <w:t>Gegen diese Nichtanhandnahmeverfügung erhob A.________ Beschwerde beim Obergericht des Kantons Zürich.</w:t>
      </w:r>
    </w:p>
    <w:p>
      <w:r>
        <w:rPr>
          <w:b/>
        </w:rPr>
        <w:t>E. 1.2</w:t>
      </w:r>
    </w:p>
    <w:p>
      <w:r>
        <w:t>Das Obergericht eröffnete daraufhin für jede von A.________ beschuldigte Person ein separates Beschwerdeverfahren (UE200053-O/Z1, UE200054-O/Z1, UE200055-O/Z1, UE200056-O/Z1, UE200057-O/Z1 UE200058-O/Z1 und UE200059-O/Z1). Am 6. März 2020 auferlegte es A.________ mit sieben gleichlautenden Verfügungen Prozesskautionen von je Fr. 500.--, unter der Androhung, bei Säumnis auf die Rechtsmittel nicht einzutreten.</w:t>
      </w:r>
    </w:p>
    <w:p>
      <w:r>
        <w:rPr>
          <w:b/>
        </w:rPr>
        <w:t>E. 1.3</w:t>
      </w:r>
    </w:p>
    <w:p>
      <w:r>
        <w:t>Gegen diese obergerichtlichen Verfügungen erhebt A.________ sieben gleichlautende Beschwerden (Verfahren 1B_170-176/2020), mit denen er sinngemäss beantragt, die Prozesskautionen aufzuheben, da er nicht über die finanziellen Mittel verfüge, sie zu leisten.</w:t>
      </w:r>
    </w:p>
    <w:p>
      <w:r>
        <w:rPr>
          <w:b/>
        </w:rPr>
        <w:t>E. 1.4</w:t>
      </w:r>
    </w:p>
    <w:p>
      <w:r>
        <w:t>Vernehmlassungen wurden keine eingeholt.</w:t>
      </w:r>
    </w:p>
    <w:p>
      <w:r>
        <w:rPr>
          <w:b/>
        </w:rPr>
        <w:t>E. 2</w:t>
      </w:r>
    </w:p>
    <w:p>
      <w:r>
        <w:t>Die sieben zusammenhängenden Verfahren sind zu vereinigen.</w:t>
      </w:r>
    </w:p>
    <w:p>
      <w:r>
        <w:rPr>
          <w:b/>
        </w:rPr>
        <w:t>E. 3</w:t>
      </w:r>
    </w:p>
    <w:p>
      <w:r>
        <w:t>Angefochten sind kantonal letztinstanzliche Entscheide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die angefochtenen Entscheide Bundesrecht verletzen ( BGE 135 III 127 E. 1.6 S. 130; 134 II 244 E. 2.1 und 2.2 S. 245 f.; je mit Hinweisen).</w:t>
      </w:r>
    </w:p>
    <w:p>
      <w:r>
        <w:t>Der Beschwerdeführer rügt sinngemäss eine Verletzung seines Anspruchs auf unentgeltliche Rechtspflege. Er behauptet indessen nicht, dass er in den kantonalen Verfahren solche Gesuche gestellt hätte. Weshalb sein Anspruch auf unentgeltliche Rechtspflege gleichwohl verletzt worden sein sollte, legt er nicht dar. Aus den Beschwerden ergibt sich damit nicht, inwiefern die obergerichtlichen Verfügungen rechts- bzw. verfassungswidrig sein sollen. Die Beschwerden genügen den gesetzlichen Begründungsanforderungen offensichtlich nicht, weshalb auf sie im vereinfachten Verfahren nach Art. 108 Abs. 1 BGG nicht einzutreten ist.</w:t>
      </w:r>
    </w:p>
    <w:p>
      <w:r>
        <w:rPr>
          <w:b/>
        </w:rPr>
        <w:t>E. 4</w:t>
      </w:r>
    </w:p>
    <w:p>
      <w:r>
        <w:t>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