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1B_170/2019 vom 1. Mai 2019</w:t>
      </w:r>
    </w:p>
    <w:p>
      <w:r>
        <w:t>Bundesgericht, 2019-05-01, DE</w:t>
      </w:r>
    </w:p>
    <w:p>
      <w:r>
        <w:rPr>
          <w:b/>
        </w:rPr>
        <w:t xml:space="preserve">Quelle: </w:t>
      </w:r>
      <w:r>
        <w:t>https://mcp.opencaselaw.ch/entscheid/bger_1B_170_2019</w:t>
      </w:r>
    </w:p>
    <w:p>
      <w:r>
        <w:t>FR: TF 1B_170/2019 du 1 mai 2019</w:t>
      </w:r>
    </w:p>
    <w:p>
      <w:r>
        <w:t>IT: TF 1B_170/2019 del 1 maggio 2019</w:t>
      </w:r>
    </w:p>
    <w:p>
      <w:pPr>
        <w:pStyle w:val="Heading2"/>
      </w:pPr>
      <w:r>
        <w:t>Erwägungen</w:t>
      </w:r>
    </w:p>
    <w:p>
      <w:r>
        <w:rPr>
          <w:b/>
        </w:rPr>
        <w:t>E. 1</w:t>
      </w:r>
    </w:p>
    <w:p>
      <w:r>
        <w:t>Gegenstand dieses Verfahrens ist einzig die Anfechtung des obergerichtlichen Haftanordnungsbeschlusses; soweit sich die Beschwerde gegen das Berufungsurteil richtet, wird sie im Verfahren 6B_444/2019 behandelt.</w:t>
      </w:r>
    </w:p>
    <w:p>
      <w:r>
        <w:rPr>
          <w:b/>
        </w:rPr>
        <w:t>E. 2.1</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Sicherheitshaft kann unter anderem angeordnet werden, wenn ein dringender Tatverdacht in Bezug auf ein Verbrechen oder Vergehen sowie Fluchtgefahr besteht ( Art. 221 Abs. 1 StPO ). Das Obergericht geht im angefochtenen Beschluss davon aus, dass der Tatverdacht aufgrund der zweitinstanzlichen Verurteilung zweifelsfrei gegeben sei. Zudem bestehe Fluchtgefahr, da der Beschwerdeführer keinen festen Wohnsitz habe, sondern unstet lebe und sich zwischen der Schweiz, Serbien und Kroatien, wo er überall bei Verwandten und Bekannten Unterschlupf finden könne, hin und her bewege.</w:t>
      </w:r>
    </w:p>
    <w:p>
      <w:r>
        <w:rPr>
          <w:b/>
        </w:rPr>
        <w:t>E. 2.3</w:t>
      </w:r>
    </w:p>
    <w:p>
      <w:r>
        <w:t>Der Beschwerdeführer macht im Wesentlichen bloss geltend, der Haftanordnungsbeschluss sei ihm nicht ordnungsgemäss eröffnet und zugestellt worden. Das ist für den Ausgang des Haftprüfungsverfahrens insofern nicht entscheidend, als er ihm jedenfalls in der Zwischenzeit zur Kenntnis gebracht wurde und er ihn mit vorliegender Beschwerde anficht. Darin setzt er sich allerdings mit dem angefochtenen Entscheid nicht materiell auseinander und legt nicht dar, inwiefern das Obergericht Bundesrecht verletzt haben könnte, indem es die Voraussetzungen für die Anordnung von Sicherheitshaft - dringender Tatverdacht und Fluchtgefahr - bejahte. Das ist auch nicht ersichtlich.</w:t>
      </w:r>
    </w:p>
    <w:p>
      <w:r>
        <w:t>Da somit der angefochtene Beschluss in der Sache unangefochten bleibt, ist es unerheblich, ob er fehlerhaft eröffnet wurde, wie der Beschwerdeführer behauptet. Auf die Beschwerde ist wegen Verletzung der Begründungspflicht nicht einzutreten. Das schadet dem Beschwerdeführer insofern nicht, als das Obergericht ohnehin sowohl berechtigt war, den Haftanordnungsentscheid am 5. Juli 2018 seinem amtlichen Verteidiger mündlich zu eröffnen, nachdem er unentschuldigt nicht erschienen war, als auch ihn an diesen zuzustellen. Es kann diesbezüglich auf die zutreffenden Ausführungen in der Vernehmlassung des Obergerichts an das Bundesgericht vom 15. April 2019 verwiesen werden.</w:t>
      </w:r>
    </w:p>
    <w:p>
      <w:r>
        <w:rPr>
          <w:b/>
        </w:rPr>
        <w:t>E. 3</w:t>
      </w:r>
    </w:p>
    <w:p>
      <w:r>
        <w:t>Auf die Beschwerde ist wegen Verletzung der gesetzlichen Begründungspflicht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