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170/2007 vom 24. September 2007</w:t>
      </w:r>
    </w:p>
    <w:p>
      <w:r>
        <w:t>Bundesgericht, 2007-09-24, FR</w:t>
      </w:r>
    </w:p>
    <w:p>
      <w:r>
        <w:rPr>
          <w:b/>
        </w:rPr>
        <w:t xml:space="preserve">Quelle: </w:t>
      </w:r>
      <w:r>
        <w:t>https://mcp.opencaselaw.ch/entscheid/bger_1B_170_2007</w:t>
      </w:r>
    </w:p>
    <w:p>
      <w:r>
        <w:t>FR: TF 1B 170/2007 du 24 septembre 2007</w:t>
      </w:r>
    </w:p>
    <w:p>
      <w:r>
        <w:t>IT: TF 1B 170/2007 del 24 settembre 2007</w:t>
      </w:r>
    </w:p>
    <w:p>
      <w:pPr>
        <w:pStyle w:val="Heading2"/>
      </w:pPr>
      <w:r>
        <w:t>Regeste</w:t>
      </w:r>
    </w:p>
    <w:p>
      <w:r>
        <w:t>assistance juridique | Procédure pénale</w:t>
      </w:r>
    </w:p>
    <w:p>
      <w:pPr>
        <w:pStyle w:val="Heading2"/>
      </w:pPr>
      <w:r>
        <w:t>Erwägungen</w:t>
      </w:r>
    </w:p>
    <w:p>
      <w:r>
        <w:rPr>
          <w:b/>
        </w:rPr>
        <w:t>E. 1</w:t>
      </w:r>
    </w:p>
    <w:p>
      <w:r>
        <w:t>La décision attaquée ayant été rendue après le 1er janvier 2007, la loi sur le Tribunal fédéral du 17 juin 2006 (LTF) est applicable à la présente procédure de recours ( art. 132 al. 1 LTF ).</w:t>
      </w:r>
    </w:p>
    <w:p>
      <w:r>
        <w:rPr>
          <w:b/>
        </w:rPr>
        <w:t>E. 2</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En l'espèce, la décision attaquée a été rendue dans le cadre d'une procédure pénale. Nonobstant les indications figurant au bas du prononcé litigieux, la voie du recours en matière pénale est dès lors bien ouverte en l'espèce. Formé en temps utile contre une décision incidente prise en dernière instance cantonale, qui est de nature à causer un préjudice irréparable et qui touche le recourant dans ses intérêts juridiquement protégés, le recours est recevable au regard des art. 80, 81 al. 1 let. a et b ch.1, 93 et 100 LTF.</w:t>
      </w:r>
    </w:p>
    <w:p>
      <w:r>
        <w:rPr>
          <w:b/>
        </w:rPr>
        <w:t>E. 3.1</w:t>
      </w:r>
    </w:p>
    <w:p>
      <w:r>
        <w:t>Le principe, l'étendue et les limites du droit à l'assistance judiciaire gratuite sont déterminés en premier lieu par les prescriptions du droit cantonal de procédure, dont le Tribunal fédéral ne revoit l'application et l'interprétation que sous l'angle de l'arbitraire. Dans tous les cas cependant, l'autorité cantonale doit respecter les garanties minimales déduites de l' art. 29 al. 3 Cst. et le Tribunal fédéral vérifie librement que cela soit bien le cas ( ATF 126 I 165 consid. 3, p. 165 s.; 124 I 1 consid. 2 p. 2, 304 consid. 2c p. 306). Le droit genevois n'offre pas de protection plus étendue (Bernard Corboz, Le droit constitutionnel à l'assistance judiciaire, SJ 2003 II 67, p. 70), de sorte que c'est à la lumière de l' art. 29 al. 3 Cst. qu'il y a lieu d'examiner le présent recours.</w:t>
      </w:r>
    </w:p>
    <w:p>
      <w:r>
        <w:rPr>
          <w:b/>
        </w:rPr>
        <w:t>E. 3.2</w:t>
      </w:r>
    </w:p>
    <w:p>
      <w:r>
        <w:t>A teneur de cette disposition,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 ATF 129 I 129 consid. 2.1 p. 133; 128 I 225 consid. 2.3 p. 227; 127 I 202 consid. 3b p. 205).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128 I 225 consid. 2.5.2 p. 232 et les arrêts cités). En général, on ne tranchera par l'affirmative que si les problèmes posés ne sont pas faciles à résoudre et si le requérant ou son représentant ne bénéficient pas eux-mêmes d'une formation juridique (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145 consid. 2b/cc p. 147;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 ATF 125 V 32 consid. 4b p. 36 et les arrêts cités). La désignation d'un défenseur d'office dans la procédure pénale est en tout cas nécessaire lorsque le prévenu est exposé à une longue peine privative de liberté ou qu'il est menacé d'une peine qui ne peut être assortie du sursis.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43 consid. 2a p. 44 et les références citées).</w:t>
      </w:r>
    </w:p>
    <w:p>
      <w:r>
        <w:rPr>
          <w:b/>
        </w:rPr>
        <w:t>E. 4</w:t>
      </w:r>
    </w:p>
    <w:p>
      <w:r>
        <w:t>En premier lieu, le recourant soutient que la règle jurisprudentielle selon laquelle l'assistance juridique n'est octroyée que s'il existe un risque de condamnation à une peine incompatible avec l'octroi du sursis ou à une grave mesure privative de liberté ne résulte d'aucune base légale et viole dès lors les garanties conventionnelles et constitutionnelles. Cette règle aurait des conséquences d'autant plus choquantes depuis l'entrée en vigueur du nouveau Code pénal.</w:t>
      </w:r>
    </w:p>
    <w:p>
      <w:r>
        <w:rPr>
          <w:b/>
        </w:rPr>
        <w:t>E. 4.1</w:t>
      </w:r>
    </w:p>
    <w:p>
      <w:r>
        <w:t>L'argumentation du recourant découle d'une mauvaise compréhension de la jurisprudence du Tribunal fédéral. En effet, selon cette dernière, si l'accusé risque concrètement une peine privative de liberté incompatible avec l'octroi du sursis ou une mesure équivalente, l'assistance d'un avocat doit lui être accordée, indépendamment de la complexité de la cause. Cela ne signifie cependant pas, comme semble le croire le recourant, que si la peine est moins lourde, il n'y a pas droit. Au contraire, dans ces cas, un défenseur n'est considéré indispensable que si la complexité de l'affaire et l'état du requérant le justifient. Ce n'est que si l'accusé n'encourt qu'une amende ou une brève privation de liberté - de telle sorte que l'on puisse parler d'un cas-bagatelle - que le Tribunal fédéral a jugé que l'assistance d'un avocat n'était pas due en vertu de la Constitution fédérale.</w:t>
      </w:r>
    </w:p>
    <w:p>
      <w:r>
        <w:rPr>
          <w:b/>
        </w:rPr>
        <w:t>E. 4.2</w:t>
      </w:r>
    </w:p>
    <w:p>
      <w:r>
        <w:t>En l'occurrence, le Vice-président de la Cour de justice a manifestement estimé qu'il s'agissait d'un cas d'une gravité relative, puisqu'il a examiné la complexité de la cause. Le recourant ne saurait dès lors soutenir que le bénéfice de l'assistance juridique lui a été refusé au seul motif qu'il n'existait pas de risque de condamnation à une peine incompatible avec l'octroi du sursis ou à une grave mesure privative de liberté.</w:t>
      </w:r>
    </w:p>
    <w:p>
      <w:r>
        <w:rPr>
          <w:b/>
        </w:rPr>
        <w:t>E. 4.3</w:t>
      </w:r>
    </w:p>
    <w:p>
      <w:r>
        <w:t>La critique liée à l'entrée en vigueur du nouveau droit ne saurait être examinée ici, puisqu'elle sort clairement du cadre du litige. Au demeurant, elle tombe à faux conformément à ce qui a été exposé plus haut. De plus, le recourant perd de vue que demeure déterminante l'appréciation de la gravité de l'atteinte à la situation juridique du requérant. Or, cette dernière ne saurait être dissociée des circonstances concrètes du cas d'espèce, de sorte qu'une application schématique n'entre de toute façon pas en considération.</w:t>
      </w:r>
    </w:p>
    <w:p>
      <w:r>
        <w:rPr>
          <w:b/>
        </w:rPr>
        <w:t>E. 5</w:t>
      </w:r>
    </w:p>
    <w:p>
      <w:r>
        <w:t>En second lieu, s'agissant de la complexité de la cause, le recourant fait valoir que la condition de la mauvaise volonté serait une notion indéterminée malaisée à exposer et qu'elle le serait encore davantage, en termes de crédibilité, lorsqu'un accusé doit plaider sa propre cause en personne. Le recourant ne saurait être suivi sur ce point. Il apparaît au contraire que la problématique de la volonté ne soulève pas de difficultés particulières. Les arguments à avancer sont en effet à la portée de tous et ne font appel à aucune connaissance en droit. En outre, l'assistance juridique n'a pas pour fonction de pallier au manque de crédibilité de l'accusé. Enfin, le recourant ne fait valoir aucune circonstance particulière propre à sa personne, et on n'en décèle d'ailleurs aucune à la lecture du dossier, qui justifierait l'assistance d'un avocat.</w:t>
      </w:r>
    </w:p>
    <w:p>
      <w:r>
        <w:rPr>
          <w:b/>
        </w:rPr>
        <w:t>E. 6</w:t>
      </w:r>
    </w:p>
    <w:p>
      <w:r>
        <w:t>Il s'ensuit que le recours doit être rejeté. Les conditions d'octroi de l'assistance judiciaire dans la présente procédure étant réunies, il y a lieu de statuer sans frais ( art. 64 al. 1 LTF ). Me Grégoire Rey est désigné comme défenseur d'office du recourant et une indemnité lui sera versée à titre d'honoraires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