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1B_16/2023 vom 16. Januar 2023</w:t>
      </w:r>
    </w:p>
    <w:p>
      <w:r>
        <w:t>Bundesgericht, 2023-01-16, DE</w:t>
      </w:r>
    </w:p>
    <w:p>
      <w:r>
        <w:rPr>
          <w:b/>
        </w:rPr>
        <w:t xml:space="preserve">Quelle: </w:t>
      </w:r>
      <w:r>
        <w:t>https://mcp.opencaselaw.ch/entscheid/bger_1B_16_2023</w:t>
      </w:r>
    </w:p>
    <w:p>
      <w:r>
        <w:t>FR: TF 1B_16/2023 du 16 janvier 2023</w:t>
      </w:r>
    </w:p>
    <w:p>
      <w:r>
        <w:t>IT: TF 1B_16/2023 del 16 gennaio 2023</w:t>
      </w:r>
    </w:p>
    <w:p>
      <w:pPr>
        <w:pStyle w:val="Heading2"/>
      </w:pPr>
      <w:r>
        <w:t>Erwägungen</w:t>
      </w:r>
    </w:p>
    <w:p>
      <w:r>
        <w:rPr>
          <w:b/>
        </w:rPr>
        <w:t>E. 1</w:t>
      </w:r>
    </w:p>
    <w:p>
      <w:r>
        <w:t>Die Staatsanwaltschaft Zürich-Limmat führte eine Strafuntersuchung gegen A.________ wegen Hausfriedensbruchs etc. Am 20. Oktober 2022 stellte A.________ ein Gesuch um Bestellung einer amtlichen Verteidigung. Die Oberstaatsanwaltschaft des Kantons Zürich, Büro für amtliche Mandate, wies mit Verfügung vom 8. November 2022 das Gesuch ab. Am 18. November 2022 erliess die Staatsanwaltschaft Zürich-Limmat einen Strafbefehl und bestrafte A.________ mit einer bedingten Geldstrafe von 20 Tagessätzen à Fr. 30.-- und einer Busse von Fr. 300.--.</w:t>
      </w:r>
    </w:p>
    <w:p>
      <w:r>
        <w:t>A.________ erhob am 19. November 2022 Beschwerde gegen die mit Verfügung der Oberstaatsanwaltschaft erfolgten Abweisung des Gesuchs um Bestellung einer amtlichen Verteidigung. Die III. Strafkammer des Obergerichts des Kantons Zürich wies mit Beschluss vom 21. Dezember 2022 die Beschwerde ab. Zur Begründung führte sie zusammenfassend aus, dass von einem Bagatellfall im Sinne von Art. 132 Abs. 2 StPO auszugehen sei, der weder in tatsächlicher noch rechtlicher Hinsicht Schwierigkeiten biete, denen A.________ auf sich allein gestellt nicht gewachsen wäre. Die Oberstaatsanwaltschaft habe das Gesuch um Bestellung einer amtlichen Verteidigung zu Recht abgewiesen.</w:t>
      </w:r>
    </w:p>
    <w:p>
      <w:r>
        <w:rPr>
          <w:b/>
        </w:rPr>
        <w:t>E. 2</w:t>
      </w:r>
    </w:p>
    <w:p>
      <w:r>
        <w:t>A.________ führt mit Eingabe vom 12. Januar 2023 Beschwerde in Strafsachen gegen den Beschluss der III. Strafkammer des Obergerichts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w:t>
      </w:r>
    </w:p>
    <w:p>
      <w:r>
        <w:t>Die III. Strafkammer legte in ihrer Begründung die Voraussetzungen einer amtlichen Verteidigung gemäss Art. 132 StPO dar und führte aus, weshalb der Beschwerdeführer diese nicht zu erfüllen vermöge. Mit diesen Ausführungen setzt sich der Beschwerdeführer nicht auseinander und zeigt nicht im Einzelnen und konkret auf, inwiefern die Begründung der III. Strafkammer bzw. deren Beschluss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