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1B_16/2015 vom 27. Mai 2015</w:t>
      </w:r>
    </w:p>
    <w:p>
      <w:r>
        <w:t>Bundesgericht, 2015-05-27, DE</w:t>
      </w:r>
    </w:p>
    <w:p>
      <w:r>
        <w:rPr>
          <w:b/>
        </w:rPr>
        <w:t xml:space="preserve">Quelle: </w:t>
      </w:r>
      <w:r>
        <w:t>https://mcp.opencaselaw.ch/entscheid/bger_1B_16_2015</w:t>
      </w:r>
    </w:p>
    <w:p>
      <w:r>
        <w:t>FR: TF 1B_16/2015 du 27 mai 2015</w:t>
      </w:r>
    </w:p>
    <w:p>
      <w:r>
        <w:t>IT: TF 1B_16/2015 del 27 maggio 2015</w:t>
      </w:r>
    </w:p>
    <w:p>
      <w:pPr>
        <w:pStyle w:val="Heading2"/>
      </w:pPr>
      <w:r>
        <w:t>Erwägungen</w:t>
      </w:r>
    </w:p>
    <w:p>
      <w:r>
        <w:rPr>
          <w:b/>
        </w:rPr>
        <w:t>E. 1.1</w:t>
      </w:r>
    </w:p>
    <w:p>
      <w:r>
        <w:t>Der angefochtene Entscheid schliesst das Strafverfahren nicht ab. Er stellt einen Zwischenentscheid dar. Dieser betrifft weder die Zuständigkeit noch den Ausstand. Es handelt sich somit um einen anderen Zwischenentscheid nach Art. 93 BGG . Dagegen ist die Beschwerde gemäss Absatz 1 dieser Bestimmung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Der Beschwerdeführer muss - wenn das nicht offensichtlich ist - im Einzelnen darlegen, inwiefern die Beschwerdevoraussetzungen nach Art. 93 Abs. 1 BGG erfüllt sind. Andernfalls kann auf die Beschwerde mangels hinreichender Begründung ( Art. 42 Abs. 2 BGG ) nicht eingetreten werden ( BGE 137 III 324 E. 1.1 S. 328 f. mit Hinweisen).</w:t>
      </w:r>
    </w:p>
    <w:p>
      <w:r>
        <w:rPr>
          <w:b/>
        </w:rPr>
        <w:t>E. 1.2</w:t>
      </w:r>
    </w:p>
    <w:p>
      <w:r>
        <w:t>Die Variante nach Art. 93 Abs. 1 lit. b BGG fällt hier ausser Betracht.</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End- oder anderen Entscheid nicht mehr behoben werden könnte. Ein bloss tatsächlicher Nachteil wie die Verlängerung oder Verteuerung des Verfahrens genügt nicht ( BGE 139 IV 113 E. 1 S. 115; 137 IV 172 E. 2.1 S. 173 f.; 137 III 324 E. 1.1 S. 328; 136 IV 92 E. 4 S. 95; je mit Hinweisen).</w:t>
      </w:r>
    </w:p>
    <w:p>
      <w:r>
        <w:t>Der Beschwerdeführer äussert sich nicht dazu, weshalb ihm der angefochtene Entscheid einen nicht wieder gutzumachenden Nachteil im Sinne von Art. 93 Abs. 1 lit a BGG bewirken können soll. Das ist auch nicht offensichtlich. Die Rechtsprechung nimmt in Fällen wie hier vielmehr keinen derartigen Nachteil an, da die in Frage stehenden Unterlagen im weiteren Verlauf des Verfahrens auf Antrag des Betroffenen immer noch aus den Akten entfernt werden können, womit für diesen jeder Nachteil entfällt (vgl. Urteil 1B_406/2014 vom 28. April 2015 E. 1.4 mit Hinweis).</w:t>
      </w:r>
    </w:p>
    <w:p>
      <w:r>
        <w:t>Die Beschwerde genügt demnach den Begründungsanforderungen ( Art. 42 Abs. 2 BGG ) nicht, weshalb darauf nicht eingetreten werden kann.</w:t>
      </w:r>
    </w:p>
    <w:p>
      <w:r>
        <w:rPr>
          <w:b/>
        </w:rPr>
        <w:t>E. 2</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