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1B_16/2014 vom 18. August 2014</w:t>
      </w:r>
    </w:p>
    <w:p>
      <w:r>
        <w:t>Bundesgericht, 2014-08-18, DE</w:t>
      </w:r>
    </w:p>
    <w:p>
      <w:r>
        <w:rPr>
          <w:b/>
        </w:rPr>
        <w:t xml:space="preserve">Quelle: </w:t>
      </w:r>
      <w:r>
        <w:t>https://mcp.opencaselaw.ch/entscheid/bger_1B_16_2014</w:t>
      </w:r>
    </w:p>
    <w:p>
      <w:r>
        <w:t>FR: TF 1B_16/2014 du 18 août 2014</w:t>
      </w:r>
    </w:p>
    <w:p>
      <w:r>
        <w:t>IT: TF 1B_16/2014 del 18 agosto 2014</w:t>
      </w:r>
    </w:p>
    <w:p>
      <w:pPr>
        <w:pStyle w:val="Heading2"/>
      </w:pPr>
      <w:r>
        <w:t>Erwägungen</w:t>
      </w:r>
    </w:p>
    <w:p>
      <w:r>
        <w:rPr>
          <w:b/>
        </w:rPr>
        <w:t>E. 1</w:t>
      </w:r>
    </w:p>
    <w:p>
      <w:r>
        <w:t>Gemäss Art. 54 Abs. 1 BGG wird das bundesgerichtliche Verfahren in einer der Amtssprachen geführt, in der Regel in der Sprache des angefochtenen Entscheids.</w:t>
      </w:r>
    </w:p>
    <w:p>
      <w:r>
        <w:t>Von dieser Regel abzuweichen besteht hier kein Anlass. Das bundesgerichtliche Urteil ergeht deshalb in deutscher Sprache, auch wenn der Beschwerdeführer seine Eingaben in französischer Sprache eingereicht hat.</w:t>
      </w:r>
    </w:p>
    <w:p>
      <w:r>
        <w:rPr>
          <w:b/>
        </w:rPr>
        <w:t>E. 2.1</w:t>
      </w:r>
    </w:p>
    <w:p>
      <w:r>
        <w:t>Gemäss Art. 109 BGG entscheiden die Abteilungen in Dreierbesetzung bei Einstimmigkeit über die Abweisung offensichtlich unbegründeter Beschwerden (Abs. 2 lit. a). Der Entscheid wird summarisch begründet. Es kann ganz oder teilweise auf den angefochtenen Entscheid verwiesen werden (Abs. 3).</w:t>
      </w:r>
    </w:p>
    <w:p>
      <w:r>
        <w:rPr>
          <w:b/>
        </w:rPr>
        <w:t>E. 2.2</w:t>
      </w:r>
    </w:p>
    <w:p>
      <w:r>
        <w:t>Auf die Beschwerde kann eingetreten werden, soweit sich die Vorbringen des Beschwerdeführers auf den angefochtenen Entscheid (AK.2013.211) beziehen ( BGE 133 IV 335 E. 4 S. 338; Urteil 1B_102/2012 vom 24. Mai 2012 E. 1). Sie ist jedoch offensichtlich unbegründet.</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t>Die Vorinstanz bejaht die Bedürftigkeit des Beschwerdeführers, nimmt jedoch einen klaren Bagatellfall an. Dies verletzt bei einer drohenden bedingten Geldstrafe von 10 Tagessätzen zu je Fr. 30.-- verbunden mit einer Busse von Fr. 150.-- kein Bundesrecht (vgl. BGE 128 I 225 E. 2.5.2 S. 233 mit Hinweisen). Liegt ein klarer Bagatellfall vor, hat der Beschwerdeführer keinen Anspruch auf amtliche Verteidigung. Auch die Kostenverlegung der Vorinstanz hält vor Bundesrecht stand. Auf die Erwägungen im angefochtenen Entscheid kann verwiesen werden ( Art. 109 Abs. 3 BGG ).</w:t>
      </w:r>
    </w:p>
    <w:p>
      <w:r>
        <w:rPr>
          <w:b/>
        </w:rPr>
        <w:t>E. 3</w:t>
      </w:r>
    </w:p>
    <w:p>
      <w:r>
        <w:t>Die Beschwerde ist abzuweisen, soweit darauf eingetreten werden kann.</w:t>
      </w:r>
    </w:p>
    <w:p>
      <w:r>
        <w:t>Da sie aussichtslos war, kann die unentgeltliche Rechtspflege und Verbeiständung nach Art. 64 BGG nicht bewilligt werden. In Anbetracht der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