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1B_16/2013 vom 5. März 2013</w:t>
      </w:r>
    </w:p>
    <w:p>
      <w:r>
        <w:t>Bundesgericht, 2013-03-05, FR</w:t>
      </w:r>
    </w:p>
    <w:p>
      <w:r>
        <w:rPr>
          <w:b/>
        </w:rPr>
        <w:t xml:space="preserve">Quelle: </w:t>
      </w:r>
      <w:r>
        <w:t>https://mcp.opencaselaw.ch/entscheid/bger_1B_16_2013</w:t>
      </w:r>
    </w:p>
    <w:p>
      <w:r>
        <w:t>FR: TF 1B_16/2013 du 5 mars 2013</w:t>
      </w:r>
    </w:p>
    <w:p>
      <w:r>
        <w:t>IT: TF 1B_16/2013 del 5 marzo 2013</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 décision attaquée est rendue en dernière instance cantonale, au sens de l' art. 80 LTF . Le recours a été déposé dans le délai de trente jours prescrit à l' art. 100 al. 1 LTF et les conclusions présentées (y compris l'admission de la demande de récusation) sont recevables au regard de l' art. 107 LTF .</w:t>
      </w:r>
    </w:p>
    <w:p>
      <w:r>
        <w:rPr>
          <w:b/>
        </w:rPr>
        <w:t>E. 2</w:t>
      </w:r>
    </w:p>
    <w:p>
      <w:r>
        <w:t>Invoquant son droit d'être entendu, le recourant reproche à l'autorité de recours d'avoir statué sans lui donner l'occasion de s'exprimer complètement, ni de répliquer aux arguments du Ministère public alors que les observations de celui-ci contenaient des éléments de fait et de droit pertinents.</w:t>
      </w:r>
    </w:p>
    <w:p>
      <w:r>
        <w:rPr>
          <w:b/>
        </w:rPr>
        <w:t>E. 2.1</w:t>
      </w:r>
    </w:p>
    <w:p>
      <w:r>
        <w:t>Le droit d'être entendu, ancré à l' art. 29 al. 2 Cst. ,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consid. 2.3.1 p. 197 et les références citées). Dans ce sens, l' art. 29 al. 2 Cst. confère un véritable droit de réplique, même dans les domaines qui n'entrent pas dans le champ d'application de l' art. 6 CEDH (cf. ATF 138 I 154 consid. 2.3 p. 156 s.), y compris dans le cadre d'une procédure de récusation (arrêt 1B_385/2012 du 4 octobre 2012 consid. 2.1; BOOG, Basler Kommentar StPO, n° 11 ad art. 58). Le fait que le litige soit tranché, selon l' art. 59 al. 1 CPP , "sans administration supplémentaire de preuve", ne saurait faire échec au droit de répliquer tel qu'il est constitutionnellement garanti.</w:t>
      </w:r>
    </w:p>
    <w:p>
      <w:r>
        <w:rPr>
          <w:b/>
        </w:rPr>
        <w:t>E. 2.2</w:t>
      </w:r>
    </w:p>
    <w:p>
      <w:r>
        <w:t>En l'occurrence, la demande de récusation a été formée à l'audience du 13 décembre 2012. Elle a été transmise le 17 décembre 2012 à l'autorité de recours, avec les déterminations du Procureur qui concluait à la tardiveté de la demande de récusation, et relevait qu'il n'avait pas ordonné la mise en détention du prévenu. Le 17 décembre 2012 le Ministère public a été interpellé par la Présidente de la cour cantonale au sujet d'une pratique suivie par le Ministère public à propos de la poursuite de l'instruction par les magistrats ayant précédemment ordonné la mise en détention du prévenu. Le Procureur a répondu, également le même jour, en précisant que les juges d'instruction ayant ordonné une mise en détention ne poursuivaient l'instruction que jusqu'à l'avis de clôture, puis transmettaient la cause à un autre procureur. L'ensemble de ces pièces - y compris une note interne sur le même sujet - a été adressé pour information au mandataire du requérant, et lui est parvenu le 21 décembre 2012. L'avocat a réagi les 24 et 28 décembre 2012 en fournissant des observations spontanées, mais l'arrêt avait alors déjà été rendu, le 21 décembre 2012.</w:t>
      </w:r>
    </w:p>
    <w:p>
      <w:r>
        <w:t>Il en résulte que le recourant n'a manifestement pas été à même de faire valoir en temps utile son droit de réplique puisqu'il n'a pu se déterminer ni sur les objections du procureur, ni sur les pièces produites. Le recours doit dès lors être admis pour ce motif formel, sans qu'il y ait lieu d'examiner les questions de fond.</w:t>
      </w:r>
    </w:p>
    <w:p>
      <w:r>
        <w:rPr>
          <w:b/>
        </w:rPr>
        <w:t>E. 3</w:t>
      </w:r>
    </w:p>
    <w:p>
      <w:r>
        <w:t>Sur le vu de ce qui précède, le recours est admis, l'arrêt attaqué est annulé et la cause est renvoyée à la cour cantonale pour nouvelle décision après avoir donné au recourant l'occasion de répliquer. Conformément à l' art. 68 al. 1 LTF , le recourant a droit a des dépens, à la charge du canton de Neuchâtel. Ceux-ci seront réduits dès lors que, dans un premier temps, le recourant a procédé sans avocat. L'octroi de dépens rend par ailleurs sans objet la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