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168/2019 vom 30. April 2019</w:t>
      </w:r>
    </w:p>
    <w:p>
      <w:r>
        <w:t>Bundesgericht, 2019-04-30, FR</w:t>
      </w:r>
    </w:p>
    <w:p>
      <w:r>
        <w:rPr>
          <w:b/>
        </w:rPr>
        <w:t xml:space="preserve">Quelle: </w:t>
      </w:r>
      <w:r>
        <w:t>https://mcp.opencaselaw.ch/entscheid/bger_1B_168_2019</w:t>
      </w:r>
    </w:p>
    <w:p>
      <w:r>
        <w:t>FR: TF 1B 168/2019 du 30 avril 2019</w:t>
      </w:r>
    </w:p>
    <w:p>
      <w:r>
        <w:t>IT: TF 1B 168/2019 del 30 aprile 2019</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condamné en première instance pour deux tentatives d'assassinat, agression et vol, ne conteste pas, à juste titre, l'existence de charges suffisantes pesant à son encontre ( art. 221 al. 1 CPP ). Eu égard à ces lourdes charges et à la peine prononcée par le Tribunal criminel, le recourant ne remet pas non plus en cause la durée de la détention avant jugement subie. Il reproche en revanche à l'autorité précédente d'avoir retenu l'existence d'un risque de fuite, respectivement le défaut de mesures de substitution propres à le pallier.</w:t>
      </w:r>
    </w:p>
    <w:p>
      <w:r>
        <w:rPr>
          <w:b/>
        </w:rPr>
        <w:t>E. 2.1</w:t>
      </w:r>
    </w:p>
    <w:p>
      <w:r>
        <w:t>Selon l' art. 231 al. 1 CPP , au moment du jugement, le tribunal de première instance détermine si le prévenu qui a été condamné doit être placé ou maintenu en détention pour des motifs de sûreté : pour garantir l'exécution de la peine ou de la mesure prononcée (let. a); en prévision de la procédure d'appel (let. b). Une mesure de détention provisoire ou pour des motifs de sûreté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(art. 221 al. 1 let. a, b et c CPP; ATF 139 IV 186 consid. 2 p. 187 s.). Selon la jurisprudence, 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166 s.).</w:t>
      </w:r>
    </w:p>
    <w:p>
      <w:r>
        <w:rPr>
          <w:b/>
        </w:rPr>
        <w:t>E. 2.2</w:t>
      </w:r>
    </w:p>
    <w:p>
      <w:r>
        <w:t>La cour cantonale a retenu l'existence d'un risque de fuite concret. Elle a tout d'abord relevé que le recourant avait respecté les mesures de substitution ordonnées en place de la détention provisoire afin d'assurer sa présence aux débats de première instance. Elle a ensuite estimé en substance que la situation procédurale avait "radicalement" évolué entre la décision de la Direction de la procédure du Tribunal criminel - rejetant la demande tendant à saisir le Tribunal de mesures des contrainte (Tmc) afin de requérir le placement du recourant en détention pour des motifs de sûreté à l'issue du réquisitoire - et celle ordonnant le placement du recourant en détention pour des motifs de sûreté une fois le verdict du tribunal de première instance rendu; en effet, dans l'intervalle, le recourant avait été reconnu coupable de l'ensemble des chefs d'accusation pour lesquels il avait été renvoyé en jugement. L'autorité précédente a ensuite relevé que le recourant, célibataire, sans formation achevée, exposé en l'état à devoir purger une longue privation de liberté, pourrait être tenté de s'y soustraire; l'immaturité décelée chez lui par les experts, ainsi que son incapacité à tirer des enseignements de ses actes, pourraient même le pousser à cette solution; pour ces mêmes motifs, sa volonté - dont il a fait état aux débats - de terminer sa formation scolaire et professionnelle pourrait être anéantie par la perspective de la longue peine privative de liberté. La juridiction cantonale a ensuite estimé que le recourant n'établissait pas de relations personnelles avec les nombreux membres de sa famille en Suisse et que sa mère - chez qui il vivait - conservait des attaches suffisamment fortes avec son pays d'origine, s'y étant rendue quelques jours avec lui en septembre 2018; peu importait que le recourant affirmait n'avoir aucun lien particulier avec la parenté les ayant hébergés (un oncle de sa mère), puisqu'avec ce contact, compte tenu des forts liens l'unissant à sa mère, il pourrait être plus facilement encore tenté de mettre une frontière entre la justice suisse et lui, cela également indépendamment de sa possible extradition.</w:t>
      </w:r>
    </w:p>
    <w:p>
      <w:r>
        <w:rPr>
          <w:b/>
        </w:rPr>
        <w:t>E. 2.3</w:t>
      </w:r>
    </w:p>
    <w:p>
      <w:r>
        <w:t>Ce raisonnement ne prête pas le flanc à la critique. Certes, vu sa situation personnelle, le recourant n'est pas dénué de toute attache avec la Suisse (nationalité, père et mère y résidant, domicile chez cette dernière, formation professionnelle a priori en cours, centres d'intérêts allégués - sans démonstration - dans ce pays). Ces circonstances - qui n'ont pas été ignorées par la cour cantonale - ne suffisent cependant pas en l'occurrence pour exclure tout risque de fuite. En effet, si le recourant conteste avoir des "attaches concrètes" et personnelles avec le pays d'origine de sa mère, il ne remet en revanche pas en cause celles de sa mère, avec qui il s'y est d'ailleurs rendu récemment. Eu égard aux relations de sa mère - avec qui il entretient de très forts liens -, le recourant paraît donc, le cas échéant, pouvoir y trouver un refuge ou y avoir des contacts. Vu le terme "notamment" utilisé par les experts (cf. p 21 du rapport d'expertise du 28 février 2018), on ne saurait pas non plus limiter l'immaturité relevée par ceux-ci à la seule question de la volonté de réparation financière des victimes (cf. également leur déclaration lors de l'audience du 6 mars 2019 p. 89); cette caractéristique paraît ainsi pouvoir influencer toute décision, dont celle de se présenter devant les autorités. Enfin, à ces premiers éléments, s'ajoute encore le jugement de première instance, certes non définitif et exécutoire. Celui-ci condamne le recourant à une peine privative de liberté de 15 ans. Or, ce prononcé constitue un indice important quant à la peine susceptible de devoir être finalement exécutée ( ATF 143 IV 168 consid. 5.1 p. 173). Cette circonstance n'existait pas lorsque le Tribunal des mesures de contrainte (Tmc) a prononcé, le 14 mars 2018, la libération du recourant avec la mise en oeuvre de mesures de substitution - qui retenait au demeurant aussi un danger de fuite peut-être alors "ténu" (risque d'ailleurs toujours mentionné dans l'ordonnance du 8 mars 2019) - ou quand la Direction de la procédure du tribunal de première instance a refusé, à l'issue des plaidoiries, mais préalablement au verdict de condamnation, de demander le placement immédiat du recourant en détention pour des motifs de sûreté (le 7 mars 2019). Le verdict prononcé peut donc amener les autorités à avoir une nouvelle appréciation de la situation, notamment sous l'angle d'un risque de fuite, puisque la perspective de devoir passer plusieurs années en prison se concrétise. Le recourant pourrait être, à présent, tenté de se soustraire à la sanction encourue; cela vaut d'autant plus lorsque la quotité de la peine est aussi importante que celle prononcée en l'occurrence (15 ans). Partant, la cour cantonale pouvait, sans violer le droit fédéral, considérer qu'il existait un risque de fuite concret dans le cas d'espèce.</w:t>
      </w:r>
    </w:p>
    <w:p>
      <w:r>
        <w:rPr>
          <w:b/>
        </w:rPr>
        <w:t>E. 2.4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cour cantonale a relevé que le dispositif mis en place antérieurement à titre de mesures de substitution avait atteint son but, au regard de la comparution du recourant à l'audience de jugement. Elle a également estimé que, vu le prononcé du verdict du tribunal de première instance, l'intensité du risque de fuite n'était plus la même, mais s'était accrue. Selon l'autorité précédente, les mesures prises - dont le port d'un bracelet électronique, l'obligation de se présenter à un poste de police, l'assignation à résidence en Suisse et/ou le dépôt des papiers d'identité - s'avéraient dans ces circonstances d'emblée inefficaces; elles n'empêchaient pas le passage dans la clandestinité ou des frontières, permettant tout au plus de constater une éventuelle violation des obligations (cf. sur ces problématiques, arrêt 1B_496/2018 du 21 novembre 2018 consid. 4.2 et les arrêts cités). La juridiction cantonale a ensuite relevé que, s'agissant des sûretés déposées - équivalentes à deux mois de salaire de la mère du recourant -, l'immaturité et l'impulsivité du recourant laissaient à craindre la perte de ces fonds - qui n'étaient pas les siens - et n'était donc plus un frein suffisant à une velléité de fuite maintenant qu'une importante peine avait été prononcée (sur les sûretés, voir également l'arrêt 1B_496/2018 susmentionné consid. 4.1). Cette appréciation peut également être confirmée. Le recourant ne développe d'ailleurs aucune argumentation propre à la remettre en cause, notamment en expliquant pourquoi le prononcé de première instance - circonstance nouvelle non dénuée de conséquence - ne pourrait pas modifier sa volonté de continuer à se soumettre scrupuleusement aux mesures qui lui seraient imposées. En particulier, il ne soutient pas, de manière claire, que l'échéance prochaine de sa formation professionnelle offrirait une garantie suffisante à cet égard, notamment en relevant que la violation de ses obligations, un passage dans la clandestinité ou à l'étranger rendraient caducs tous les efforts consentis sur ce plan à ce jour. Sans autre explication, on ne saurait ainsi retenir que le recourant aurait nécessairement la volonté de persévérer dans cette voie alors qu'il pourrait ensuite devoir purger une longue peine privative de liberté.</w:t>
      </w:r>
    </w:p>
    <w:p>
      <w:r>
        <w:rPr>
          <w:b/>
        </w:rPr>
        <w:t>E. 2.5</w:t>
      </w:r>
    </w:p>
    <w:p>
      <w:r>
        <w:t>Eu égard à l'existence d'un risque de fuite et de l'absence de mesures de substitution propres à le pallier, la Chambre pénale de recours pouvait, sans violer le droit fédéral, ordonner le placement du recourant en détention pour des motifs de sûreté.</w:t>
      </w:r>
    </w:p>
    <w:p>
      <w:r>
        <w:rPr>
          <w:b/>
        </w:rPr>
        <w:t>E. 3</w:t>
      </w:r>
    </w:p>
    <w:p>
      <w:r>
        <w:t>Il s'ensuit que le recours est rejeté. Le recourant a demandé l'assistance judiciaire et les conditions en paraissent réunies ( art. 64 al. 1 LTF ). Il y a donc lieu de désigner Me Guerric Canonica en tant qu'avocat d'office du recourant et de lui allouer une indemnité à titre d'honoraires, qui seront supportés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