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168/2009 vom 14. Oktober 2009</w:t>
      </w:r>
    </w:p>
    <w:p>
      <w:r>
        <w:t>Bundesgericht, 2009-10-14, DE</w:t>
      </w:r>
    </w:p>
    <w:p>
      <w:r>
        <w:rPr>
          <w:b/>
        </w:rPr>
        <w:t xml:space="preserve">Quelle: </w:t>
      </w:r>
      <w:r>
        <w:t>https://mcp.opencaselaw.ch/entscheid/bger_1B_168_2009</w:t>
      </w:r>
    </w:p>
    <w:p>
      <w:r>
        <w:t>FR: TF 1B 168/2009 du 14 octobre 2009</w:t>
      </w:r>
    </w:p>
    <w:p>
      <w:r>
        <w:t>IT: TF 1B 168/2009 del 14 ottobre 2009</w:t>
      </w:r>
    </w:p>
    <w:p>
      <w:pPr>
        <w:pStyle w:val="Heading2"/>
      </w:pPr>
      <w:r>
        <w:t>Regeste</w:t>
      </w:r>
    </w:p>
    <w:p>
      <w:r>
        <w:t>Aufhebung einer Kontosperre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daher nach Art. 80 BGG zulässig.</w:t>
      </w:r>
    </w:p>
    <w:p>
      <w:r>
        <w:rPr>
          <w:b/>
        </w:rPr>
        <w:t>E. 1.3</w:t>
      </w:r>
    </w:p>
    <w:p>
      <w:r>
        <w:t>Die Beschwerdeführerin hat am vorinstanzlichen Verfahren teilgenommen. Sie macht geltend, die Vorinstanz sei zu Unrecht auf die bei ihr erhobene Beschwerde nicht eingetreten, rügt also eine formelle Rechtsverweigerung. Insoweit hat sie ein rechtlich geschütztes Interesse an der Aufhebung des angefochtenen Entscheids ( BGE 120 Ia 157 E. 2a/bb S. 160; Urteil 6B_380/2007 vom 13. November 2007 E. 2.1). Sie ist somit gemäss Art. 81 Abs. 1 BGG zur Beschwerde befugt.</w:t>
      </w:r>
    </w:p>
    <w:p>
      <w:r>
        <w:rPr>
          <w:b/>
        </w:rPr>
        <w:t>E. 1.4</w:t>
      </w:r>
    </w:p>
    <w:p>
      <w:r>
        <w:t>Bliebe es beim angefochtenen Entscheid, könnte die B.________ AG den freigegebenen Betrag abziehen. Er stünde im Strafverfahren defi-nitiv nicht mehr zur Verfügung, könnte nicht mehr eingezogen und insbesondere nicht zur Deckung von Schadenersatzforderungen der Beschwerdeführerin gemäss Art. 73 StGB verwendet werden. Man kann sich deshalb fragen, ob der angefochtene Entscheid nicht einen Endentscheid gemäss Art. 90 BGG darstellt. Wie es sich damit verhält, kann jedoch offen bleiben. Die Beschwerde wäre auch zulässig, wenn man einen Zwischenentscheid nach Art. 93 BGG annähme. Mit der Abziehung des freigegebenen Betrags könnte dieser nicht mehr zur Deckung von Schadenersatzansprüchen der Beschwerdeführerin gemäss Art. 73 StGB verwendet werden. Dieser drohte daher aufgrund des angefochtenen Entscheids ein nicht wieder gutzumachender Nachteil im Sinne von Art. 93 Abs. 1 lit. a BGG (Urteile 1B_212/2007 vom 12. März 2008 E. 1.3; 1P.189/2000 vom 21. Juni 2000 E. 2).</w:t>
      </w:r>
    </w:p>
    <w:p>
      <w:r>
        <w:rPr>
          <w:b/>
        </w:rPr>
        <w:t>E. 1.5</w:t>
      </w:r>
    </w:p>
    <w:p>
      <w:r>
        <w:t>Es kann dahingestellt bleiben, ob es sich beim angefochtenen Entscheid um einen solchen über eine vorsorgliche Massnahme nach Art. 98 BGG handelt, da die Beschwerdeführerin ohnehin nur die Verletzung verfassungsmässiger Rechte rügt.</w:t>
      </w:r>
    </w:p>
    <w:p>
      <w:r>
        <w:rPr>
          <w:b/>
        </w:rPr>
        <w:t>E. 1.6</w:t>
      </w:r>
    </w:p>
    <w:p>
      <w:r>
        <w:t>Die weiteren Sachurteilsvoraussetzungen geben zu keinen Bemerkungen Anlass. Auf die Beschwerde ist einzutreten.</w:t>
      </w:r>
    </w:p>
    <w:p>
      <w:r>
        <w:rPr>
          <w:b/>
        </w:rPr>
        <w:t>E. 2.1</w:t>
      </w:r>
    </w:p>
    <w:p>
      <w:r>
        <w:t>Die Beschwerdeführerin bringt vor, das Bundesgericht anerkenne in einem Fall wie hier im bundesgerichtlichen Verfahren ein rechtlich geschütztes Interesse des Geschädigten an der Aufrechterhaltung der Kontensperre. Dasselbe müsse auf kantonaler Ebene gelten. Der angefochtene Beschluss verletze Art. 49 Abs. 1 BV .</w:t>
      </w:r>
    </w:p>
    <w:p>
      <w:r>
        <w:rPr>
          <w:b/>
        </w:rPr>
        <w:t>E. 2.2</w:t>
      </w:r>
    </w:p>
    <w:p>
      <w:r>
        <w:t>Gemäss Art. 49 Abs. 1 BV geht Bundesrecht entgegenstehendem kantonalem Recht vor. Erleidet jemand durch ein Verbrechen oder Vergehen einen Schaden, der nicht durch eine Versicherung gedeckt ist, und ist anzunehmen, dass der Täter den Schaden nicht ersetzen oder eine Genugtuung nicht leisten wird, so spricht das Gericht gemäss Art. 73 StGB dem Geschädigten auf dessen Verlangen bis zur Höhe des Schadenersatzes bzw. der Genugtuung, die gerichtlich oder durch Vergleich festgesetzt worden sind, unter anderem eingezogene Vermögenswerte zu (Abs. 1 lit. b). Der Geschädigte hat unter den Voraussetzungen von Art. 73 StGB einen Rechtsanspruch auf Zusprechung eingezogener Vermögenswerte. Mit Blick darauf bejaht das Bundesgericht ein rechtlich geschütztes Interesse des Geschädigten an der Aufhebung eines Entscheids, mit dem eine Beschlagnahme von Vermögenswerten abgelehnt oder aufgehoben wird, und anerkennt ihm daher die Legitimation zur Erhebung der Beschwerde in Strafsachen nach Art. 81 Abs. 1 BGG - bzw. altrechtlich zur staatsrechtlichen Beschwerde nach Art. 88 OG - zu; andernfalls wäre die Durchsetzung des Rechtsanspruchs nach Art. 73 StGB nicht gewährleistet ( BGE 126 I 97 E. 1a S. 100; Urteile 1B_212/2007 vom 12. März 2008 E. 1.4; 1P.189/2000 vom 21. Juni 2000 E. 2c und 3). Auf diese Rechtsprechung zurückzukommen besteht kein Anlass. Wer zur Beschwerde an das Bundesgericht berechtigt ist, muss sich gemäss Art. 111 Abs. 1 BGG am Verfahren vor allen kantonalen Vorinstanzen als Partei beteiligen können. Die kantonalen Behörden dürfen deshalb die Rechtsmittelbefugnis nicht enger fassen, als dies für die Beschwerde an das Bundesgericht gilt (Urteile 1C_405/2008 vom 18. März 2009 E. 2.1; 2C_504/2008 vom 28. Januar 2009 E. 5, mit Hinweisen; Botschaft vom 28. Februar 2001 zur Totalrevision der Bundesrechtspflege, BBl 2001 4349). Die Vorinstanz hätte demnach die Beschwerdelegitimation der Beschwerdeführerin, welche nach dem Gesagten im bundesgerichtlichen Verfahren auch in der Sache gegeben wäre, bejahen müssen. Indem sie das nicht getan hat, hat sie Art. 111 Abs. 1 BGG und damit Bundesrecht missachtet, das kantonalem Recht vorgeht. Die Beschwerde ist insoweit begründet. Ob - wie die Beschwerdeführerin geltend macht - der angefochtene Nichteintretensentscheid überdies ihr Recht auf Zugang zu einem Gericht (Rechtsweggarantie, Art. 29a BV und Art. 6 EMRK ) bzw. auf rechtliches Gehör ( Art. 29 Abs. 2 BV und Art. 6 EMRK ) verletze, kann dahingestellt bleiben.</w:t>
      </w:r>
    </w:p>
    <w:p>
      <w:r>
        <w:rPr>
          <w:b/>
        </w:rPr>
        <w:t>E. 2.3</w:t>
      </w:r>
    </w:p>
    <w:p>
      <w:r>
        <w:t>Die Vorinstanz erwägt (angefochtener Entscheid S. 5 E. 3), da sie auf die Beschwerde nicht eintrete, erweise sich das Akteneinsichtsgesuch der Beschwerdeführerin vom 2. bzw. 8. Juni 2009 als obsolet. Die Vorinstanz wird bei der Neubeurteilung zu diesem Akteneinsichtsgesuch Stellung zu nehmen haben.</w:t>
      </w:r>
    </w:p>
    <w:p>
      <w:r>
        <w:rPr>
          <w:b/>
        </w:rPr>
        <w:t>E. 3</w:t>
      </w:r>
    </w:p>
    <w:p>
      <w:r>
        <w:t>Die B.________ AG unterliegt. Sie hat den Nichteintretensentscheid der Vorinstanz jedoch nicht zu vertreten. Es werden daher keine Kosten erhoben ( Art. 66 Abs. 1 Satz 2 und Abs. 4 BGG ). Der Kanton hat der Beschwerdeführerin für das bundesgerichtliche Verfahren eine Entschädigung zu bezahlen ( Art. 68 Abs. 1 und 2 BGG ). Mit dem vorliegenden Entscheid braucht über den Antrag auf Entzug der aufschiebenden Wirkung nicht mehr befunden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