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1B_167/2019 vom 21. August 2019</w:t>
      </w:r>
    </w:p>
    <w:p>
      <w:r>
        <w:t>Bundesgericht, 2019-08-21, FR</w:t>
      </w:r>
    </w:p>
    <w:p>
      <w:r>
        <w:rPr>
          <w:b/>
        </w:rPr>
        <w:t xml:space="preserve">Quelle: </w:t>
      </w:r>
      <w:r>
        <w:t>https://mcp.opencaselaw.ch/entscheid/bger_1B_167_2019</w:t>
      </w:r>
    </w:p>
    <w:p>
      <w:r>
        <w:t>FR: TF 1B_167/2019 du 21 août 2019</w:t>
      </w:r>
    </w:p>
    <w:p>
      <w:r>
        <w:t>IT: TF 1B_167/2019 del 21 agosto 2019</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recourir ( art. 81 al. 1 LTF ). Pour le surplus, le recours a été interjeté en temps utile ( art. 100 al. 1 LTF ) contre une décision rendue par une autorité cantonale statuant en tant qu'instance unique ( art. 80 al. 2 LTF et 59 al. 1 let. c CPP) et les conclusions prises sont recevables ( art. 107 LTF ). Il y a donc lieu d'entrer en matière.</w:t>
      </w:r>
    </w:p>
    <w:p>
      <w:r>
        <w:rPr>
          <w:b/>
        </w:rPr>
        <w:t>E. 2</w:t>
      </w:r>
    </w:p>
    <w:p>
      <w:r>
        <w:t>Le recourant soutient en substance que la magistrate intimée aurait déjà agi dans la cause le concernant et que les décisions, actes et omissions effectués par celle-ci dans les précédentes procédures démontreraient qu'elle serait prévenue à son encontre; en particulier, la décision de classement qu'elle avait rendue le 21 juillet 2006 (cause P/-/2006) aurait été considérée comme erronée par le Tribunal de police l'ayant acquitté, jugement à présent soumis à la Chambre d'appel et de révision dans laquelle était appelée à siéger la magistrate intimée.</w:t>
      </w:r>
    </w:p>
    <w:p>
      <w:r>
        <w:rPr>
          <w:b/>
        </w:rPr>
        <w:t>E. 2.1</w:t>
      </w:r>
    </w:p>
    <w:p>
      <w:r>
        <w:t>Selon l' art. 56 let. b CPP , toute personne exerçant une fonction au sein d'une autorité pénale est tenue de se récuser lorsqu'elle a agi à un autre titre dans la même cause, en particulier comme membre d'une autorité, conseil juridique d'une partie, expert ou témoin. La notion de "même cause" au sens de l' 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l' art. 56 let. b CPP implique une identité de parties, de procédure et de questions litigieuses ( ATF 143 IV 69 consid. 3.1 p. 73).</w:t>
      </w:r>
    </w:p>
    <w:p>
      <w:r>
        <w:t>Le cas de récusation visé par cette disposition présuppose aussi que le magistrat en question ait agi à "un autre titre", soit dans des fonctions différentes.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p. 73 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 p. 146).</w:t>
      </w:r>
    </w:p>
    <w:p>
      <w:r>
        <w:rPr>
          <w:b/>
        </w:rPr>
        <w:t>E. 2.2</w:t>
      </w:r>
    </w:p>
    <w:p>
      <w:r>
        <w:t>Un magistrat est également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234 consid. 5.2 p. 236 s.;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2.3</w:t>
      </w:r>
    </w:p>
    <w:p>
      <w:r>
        <w:t>En l'occurrence, il n'est pas contesté que la magistrate intimée n'a pas été en charge, en tant que Procureure, de l'instruction de la cause P/-/2015, soit celle sur laquelle la Chambre d'appel pénale et de révision - dont elle fait partie - est appelée à statuer. Il peut certes être relevé qu'elle travaillait a priori encore au Ministère public - dans une autre section que celle de la Procureure en charge de cette cause - au moment du dépôt de la plainte, ainsi que lors du prononcé du 11 octobre 2018 du tribunal de première instance (cf. ad B/b.c p. 7 et 9 de l'arrêt attaqué) et qu'elle dispose d'une certaine connaissance du contexte entourant ces différentes procédures ("saga A.________"), ce qui ne saurait suffire en soi pour retenir un motif de récusation. Cela étant, personne ne prétend que les faits examinés avec l'infraction dénoncée dans la cause P/-/2015 - réalisés en mars 2015 - lui auraient déjà été soumis. De plus, même si les parties concernées sont les mêmes, la procédure P/-/2015 constitue donc en principe une nouvelle cause qui se distingue des précédentes procédures - a priori également terminées - que la Juge intimée a instruites en tant que Procureure. Dans le cadre de la procédure P/-/2015, la magistrate intimée ne sera pas non plus appelée à réexaminer les faits ayant conduit aux différentes décisions de classement qu'elle a prononcées, notamment eu égard aux circonstances ultérieures que la poursuite des différentes procédures judiciaires a permis d'établir, dont le faux témoignage commis en janvier 2008 par la partie plaignante et reconnu par la justice en novembre 2012. Il paraît ainsi douteux qu'un motif de récusation au sens de l' art. 56 let. b CPP puisse être retenu, question qui peut toutefois rester indécise vu l'issue du litige sous l'angle de l' art. 56 let . f CPP.</w:t>
      </w:r>
    </w:p>
    <w:p>
      <w:r>
        <w:t>Il sied tout d'abord de préciser que, contrairement à ce que prétend le recourant, aucune faute - en particulier répétée - ne paraît pouvoir être reprochée à la magistrate intimée, notamment grave au point de constituer une violation de ses devoirs. On ne peut en effet lui reprocher d'avoir ignoré, notamment en juillet 2006, le faux témoignage commis en janvier 2008 et constaté de manière définitive et exécutoire par le Tribunal fédéral en février 2015 (cause 6B_785/2014), respectivement la qualité d'associé du recourant reconnue judiciairement en novembre 2012 (cf. ad A/a p. 4 de l'arrêt attaqué); deux procédures ont également été classées eu égard à l'acquisition de la prescription (causes P/-/2008 et P/-/2010, classées le 4 septembre 2013 - confirmé sur recours -, respectivement le 19 mars 2015 [cf. ad B/b.c p. 8 de l'arrêt attaqué]); le classement d'une troisième cause a été confirmé sur recours (causes P/-/2011, ACPR/-/2014 et 6B_762/2014 [cf. ad B/b.c p. 8 du jugement entrepris]). On relève enfin que le recourant paraît avoir su, au cours de ces différentes procédures et si nécessaire, faire valoir ses droits (cf. la violation du principe de célérité retenue par la Chambre pénale de recours [P/-/2008 et ACPR/520/2013] et l'annulation par cette même autorité de l'ordonnance lui refusant la restitution d'un délai pour former opposition [P/-/2010 et ACPR1/-/2014 (cf. ad B/b.c p. 8 de l'arrêt attaqué)]).</w:t>
      </w:r>
    </w:p>
    <w:p>
      <w:r>
        <w:t>Cela étant, le chef de prévention de diffamation examiné dans la présente cause peut entraîner l'examen des circonstances plus larges que les seuls faits constitutifs de l'infraction proprement dites. Le Tribunal de police, qui a en l'état retenu la réalisation de l'infraction de diffamation, a procédé à un tel examen dans le cadre de la preuve de la vérité. Il a ainsi estimé que le recourant avait "été débouté à tort de certaines requêtes judiciaires et plaintes pénales et qu'il a[vait] dû attendre jusqu'en 2012, soit plus de 6 ans, pour que la justice civile lui donne raison sur son statut d'associé"; cela expliquerait son sentiment d'injustice, ainsi que la divulgation en 2015 du jugement reconnaissant la partie plaignante coupable de faux témoignage (cf. ad A/a p. 4 s. du jugement entrepris reprenant le prononcé du tribunal de première instance). Il apparaît ainsi que l'appréciation à effectuer pourrait comprendre un examen du contexte judiciaire antérieur. Or, il est incontesté que la magistrate intimée a participé, en tant que Procureure, à l'un ou l'autre des prononcés pouvant entrer en considération pour justifier les faits constitutifs de l'infraction reprochée au recourant, décisions que le tribunal de première instance a en outre considéré, à tort ou à raison, comme erronées.</w:t>
      </w:r>
    </w:p>
    <w:p>
      <w:r>
        <w:t>Ces circonstances, spécifiques au cas d'espèce, peuvent donner l'apparence que la magistrate intimée puisse être amenée à devoir apprécier l'impact que ses propres décisions pourraient avoir eu sur le recourant; or, la portée de celles-ci semble avoir été significative dans le jugement du 11 octobre 2018. Une telle configuration, très particulière, découle donc avant tout de l'infraction examinée, de l'examen que celle-ci présuppose (cf. en particulier art. 173 ch. 2 et 3 CPP ), ainsi que des considérants du jugement de première instance effectués dans ce cadre. Il s'ensuit que, sur un plan objectif, la Juge intimée pourrait ne plus offrir, à tout le moins du point de vue de l'apparence, les garanties nécessaires en matière d'impartialité (voir pour un exemple de récusation admise lorsqu'un juge est appelé à prononcer une peine complémentaire en lien avec celle prononcée dans une cause où il soutenait l'accusation, arrêt 6B_882/2008 du 31 mars 2009 consid. 1.1 et 1.2).</w:t>
      </w:r>
    </w:p>
    <w:p>
      <w:r>
        <w:t>Cette solution s'impose d'autant plus que cette situation est clairement différente de celle qui prévaut en cas de renvoi pour nouvelle décision à l'autorité précédente - qui statue alors au demeurant dans le cadre d'une même fonction -, puisque la magistrate intimée - qui exerce en l'occurrence à un autre titre - n'est pas liée par d'éventuelles instructions données par une instance supérieure sur la manière d'apprécier la cause qui lui est soumise.</w:t>
      </w:r>
    </w:p>
    <w:p>
      <w:r>
        <w:t>Par conséquent, il y a lieu d'admettre le recours sur ce point, d'ordonner la récusation de la magistrate intimée et d'annuler la décision attaquée dans la mesure où elle rejette cette requête.</w:t>
      </w:r>
    </w:p>
    <w:p>
      <w:r>
        <w:rPr>
          <w:b/>
        </w:rPr>
        <w:t>E. 3</w:t>
      </w:r>
    </w:p>
    <w:p>
      <w:r>
        <w:t>Au vu de ces considérations, il n'y a pas lieu d'examiner les griefs d'arbitraire lors de l'établissement des faits.</w:t>
      </w:r>
    </w:p>
    <w:p>
      <w:r>
        <w:rPr>
          <w:b/>
        </w:rPr>
        <w:t>E. 4</w:t>
      </w:r>
    </w:p>
    <w:p>
      <w:r>
        <w:t>Le recours est admis. L'arrêt attaqué est annulé dans la mesure où il rejette la demande de récusation de la Juge intimée et la récusation de cette dernière est ordonnée. Pour les frais cantonaux - au demeurant contestés dans le cadre du présent recours -, il y a lieu de retourner le dossier à l'autorité précédente qui statuera à nouveau sur cette question, ainsi que sur celle des dépens, en prenant en compte que deux des trois magistrats ayant fait l'objet de la requête étaient en situation de récusation et que ladite demande a été retirée en ce qui concerne le Président de l'autorité d'appel ( art. 59 al. 4 CPP et 14 al. 1 let. b du règlement genevois du 22 décembre 2010 fixant le tarif des frais en matière pénale [RTFMP; RS/GE E 4 10.03]).</w:t>
      </w:r>
    </w:p>
    <w:p>
      <w:r>
        <w:t>Pour la procédure fédérale, il n'est pas perçu de frais judiciaires ( art. 66 al. 4 LTF ). Le recourant, qui obtient gain de cause avec l'assistance d'un avocat, a droit à des dépens à la charge de la République et canton de Genève ( art. 68 al. 1 LTF ).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