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1B_167/2013 vom 16. Mai 2013</w:t>
      </w:r>
    </w:p>
    <w:p>
      <w:r>
        <w:t>Bundesgericht, 2013-05-16, FR</w:t>
      </w:r>
    </w:p>
    <w:p>
      <w:r>
        <w:rPr>
          <w:b/>
        </w:rPr>
        <w:t xml:space="preserve">Quelle: </w:t>
      </w:r>
      <w:r>
        <w:t>https://mcp.opencaselaw.ch/entscheid/bger_1B_167_2013</w:t>
      </w:r>
    </w:p>
    <w:p>
      <w:r>
        <w:t>FR: TF 1B_167/2013 du 16 mai 2013</w:t>
      </w:r>
    </w:p>
    <w:p>
      <w:r>
        <w:t>IT: TF 1B_167/2013 del 16 maggio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220 ss CPP ( ATF 137 IV 22 consid. 1 p. 23).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conteste les faits qui lui sont reprochés et nie l'existence de charges suffisantes à son encontre.</w:t>
      </w:r>
    </w:p>
    <w:p>
      <w:r>
        <w:rPr>
          <w:b/>
        </w:rPr>
        <w:t>E. 2.1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w:t>
      </w:r>
    </w:p>
    <w:p>
      <w:r>
        <w:t>Préalablement à ces conditions, il doit exister à l'égard de l'intéressé des charges suffisantes, soit de sérieux soupçons de culpabilité ( art. 221 al. 1 CPP ; art. 5 par. 1 let . c CEDH). Le Tribunal fédéral examine librement ces questions, sous réserve toutefois de l'appréciation des faits, revue sous l'angle restreint des art. 97 al. 1 et 105 al. 2 LTF ( ATF 135 I 71 consid. 2.5 p. 73 s. et les références).</w:t>
      </w:r>
    </w:p>
    <w:p>
      <w:r>
        <w:rPr>
          <w:b/>
        </w:rPr>
        <w:t>E. 2.2</w:t>
      </w:r>
    </w:p>
    <w:p>
      <w:r>
        <w:t>En l'espèce, l'ADN du recourant a été retrouvé sur le lieu du cambriolage d'un des deux appartements. Quant à l'autre appartement, situé en face sur le même palier, il a été cambriolé pendant la même période et selon le même modus operandi (porte palière forcée par pesées avec un outil plat de 15 mm). Ces éléments constituent des charges suffisantes à l'encontre du recourant pour justifier son maintien en détention préventive.</w:t>
      </w:r>
    </w:p>
    <w:p>
      <w:r>
        <w:t>Quoi qu'en pense le recourant, le simple fait que son ADN n'a été retrouvé que sur la porte d'un des appartements cambriolés et non pas à l'intérieur ne suffit pas à démontrer l'absence de charges à son encontre.</w:t>
      </w:r>
    </w:p>
    <w:p>
      <w:r>
        <w:rPr>
          <w:b/>
        </w:rPr>
        <w:t>E. 3</w:t>
      </w:r>
    </w:p>
    <w:p>
      <w:r>
        <w:t>Le recourant conteste l'existence de risques de réitération et de fuite. Si de tels risques devaient toutefois être retenus, il requiert la mise en oeuvre d'une mesure de substitution au sens de l' art. 237 CPP , telle que le versement d'une caution de 8'000 francs.</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t>En l'occurrence, il est vrai que le recourant, qui s'exprime très bien en français, peut se prévaloir de liens avec la Suisse, dans la mesure où une tante et une cousine y résident. Cela étant, l'intéressé, ressortissant marocain, n'exerce aucun emploi en Suisse. Il a affirmé faire régulièrement des séjours au Maroc où résident trois de ses frères et soeurs et a émis le souhait de retourner dans ce pays, lors de son audition devant le Ministère public le 20 mars 2013. L'ensemble de ces éléments apparaît suffisant pour retenir un risque concret de fuite. Le seul fait de préciser vouloir retourner au Maroc "uniquement lorsque la procédure pénale aura touché à sa fin" est insuffisant à faire admettre l'invraisemblance du risque de fuite. Le grief doit donc être rejeté.</w:t>
      </w:r>
    </w:p>
    <w:p>
      <w:r>
        <w:rPr>
          <w:b/>
        </w:rPr>
        <w:t>E. 3.2</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w:t>
      </w:r>
    </w:p>
    <w:p>
      <w:r>
        <w:t>En l'espèce, les antécédents du recourant constituent un indice important au sujet du risque de réitération. Il a été condamné à deux reprises en novembre 2008 et en avril 2009, notamment pour accès indu à un ordinateur, utilisation frauduleuse d'un ordinateur et recel, soit des infractions contre le patrimoine. Il a également fait l'objet d'une condamnation à la loi fédérale sur les étrangers du 16 décembre 2005 (LEtr; RS 142.20) en novembre 2012, laquelle n'est pas encore exécutoire.</w:t>
      </w:r>
    </w:p>
    <w:p>
      <w:r>
        <w:t>Ces condamnations et le sursis octroyé le 24 novembre 2008 n'ont pas empêché le prénommé de commettre de nouvelles infractions de même nature que celles pour lesquelles il a été comdamné. Ces éléments apparaissent suffisants pour retenir un risque concret de réitération. L'arrêt attaqué ne prête pas le flanc à la critique sur ce point.</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fait notamment partie des mesures de substitution la fourniture de sûreté (let. a).</w:t>
      </w:r>
    </w:p>
    <w:p>
      <w:r>
        <w:t>En l'occurrence, la Cour de justice a considéré que le montant de la caution de 8'000 francs - à verser par la tante du prévenu - était insuffisant, compte tenu du fait que celle-ci dispose de revenus nets de 8'327 francs par mois et que ses charges fixes mensuelles se montent à 1'940 francs. Le recourant fait valoir que sa tante, qu'il considère comme sa deuxième mère, ne possédait que 5'700 francs sur son compte bancaire à la fin de l'année 2012 et qu'elle a utilisé ses économies pour payer les frais de la présente procédure cantonale et fédérale. Ces arguments ne sont cependant pas de nature à remettre en cause l'appréciation de la cour cantonale, dans la mesure où les indications données par le recourant sur la situation financière de sa tante sont lacunaires et ne permettent pas d'admettre que la perspective de perdre cette somme d'argent agira comme un frein suffisamment puissant pour écarter toute velléité de fuite.</w:t>
      </w:r>
    </w:p>
    <w:p>
      <w:r>
        <w:rPr>
          <w:b/>
        </w:rPr>
        <w:t>E. 3.4</w:t>
      </w:r>
    </w:p>
    <w:p>
      <w:r>
        <w:t>Il s'ensuit que le recours est rejeté.</w:t>
      </w:r>
    </w:p>
    <w:p>
      <w:r>
        <w:rPr>
          <w:b/>
        </w:rPr>
        <w:t>E. 4</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