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1B_165/2023 vom 28. März 2023</w:t>
      </w:r>
    </w:p>
    <w:p>
      <w:r>
        <w:t>Bundesgericht, 2023-03-28, DE</w:t>
      </w:r>
    </w:p>
    <w:p>
      <w:r>
        <w:rPr>
          <w:b/>
        </w:rPr>
        <w:t xml:space="preserve">Quelle: </w:t>
      </w:r>
      <w:r>
        <w:t>https://mcp.opencaselaw.ch/entscheid/bger_1B_165_2023</w:t>
      </w:r>
    </w:p>
    <w:p>
      <w:r>
        <w:t>FR: TF 1B_165/2023 du 28 mars 2023</w:t>
      </w:r>
    </w:p>
    <w:p>
      <w:r>
        <w:t>IT: TF 1B_165/2023 del 28 marzo 2023</w:t>
      </w:r>
    </w:p>
    <w:p>
      <w:pPr>
        <w:pStyle w:val="Heading2"/>
      </w:pPr>
      <w:r>
        <w:t>Erwägungen</w:t>
      </w:r>
    </w:p>
    <w:p>
      <w:r>
        <w:rPr>
          <w:b/>
        </w:rPr>
        <w:t>E. 1</w:t>
      </w:r>
    </w:p>
    <w:p>
      <w:r>
        <w:t>A.________ erstatteten am 22. November 2022 gegen verschiedene Personen Strafanzeige. Die Staatsanwaltschaft Graubünden erliess am 23. Januar 2023 eine Nichtanhandnahmeverfügung. Dagegen erhoben A.________ am 4. Februar 2023 Beschwerde beim Kantonsgericht von Graubünden. Mit Eingabe vom 18. Februar 2023 ersuchten sie für das Beschwerdeverfahren um unentgeltliche Rechtspflege. Das Kantonsgericht von Graubünden wies mit Verfügung vom 23. Februar 2023 das Gesuch ab. Zur Begründung führte das Kantonsgericht zusammenfassend aus, dass der Privatklägerschaft für die Durchsetzung ihrer Zivilansprüche die unentgeltliche Rechtspflege gewährt werden könne, wenn die Zivilklage nicht aussichtslos erscheine ( Art. 136 Abs. 1 StPO ). Vorliegend stünden Straftaten zur Diskussion, welche die Angezeigten Personen in Ausübung ihrer dienstlichen Tätigkeiten verübt haben sollen. Diesbezügliche Schadenersatz- und Genugtuungsansprüche würden sich nach dem Staatshaftungsgesetz des Kantons Graubünden richten. Adhäsionsweise erhobene Zivilansprüche der Beschwerdeführenden würden sich als aussichtslos erweisen. Die Voraussetzungen für die unentgeltliche Rechtspflege gemäss Art. 136 StPO seien somit nicht erfüllt.</w:t>
      </w:r>
    </w:p>
    <w:p>
      <w:r>
        <w:rPr>
          <w:b/>
        </w:rPr>
        <w:t>E. 2</w:t>
      </w:r>
    </w:p>
    <w:p>
      <w:r>
        <w:t>A.________ führen mit Eingabe vom 25. März 2023 Beschwerde in Strafsachen gegen die Verfügung des Kantonsgerichts von Graubünden vom 23. Februar 2023.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den Beschwerdeführenden namentlich darzulegen, inwiefern der angefochtene Entscheid gegen Grundrechte verstossen soll.</w:t>
      </w:r>
    </w:p>
    <w:p>
      <w:r>
        <w:t>Die Beschwerdeführenden setzen sich mit der Begründung des Kantonsgerichts, die zur Abweisung des Gesuchs um unentgeltliche Rechtspflege führte, nicht auseinander. Sie vermögen daher nicht aufzuzeigen, inwiefern die Begründung des Kantonsgerichts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Die vorliegende Beschwerde erweist sich als offensichtlich aussichtslos, weshalb das Gesuch um unentgeltliche Rechtspflege abzuweisen ist ( Art. 64 BGG ). Auf eine Kostenauflage ist indessen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