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1B 165/2012 vom 12. April 2012</w:t>
      </w:r>
    </w:p>
    <w:p>
      <w:r>
        <w:t>Bundesgericht, 2012-04-12, FR</w:t>
      </w:r>
    </w:p>
    <w:p>
      <w:r>
        <w:rPr>
          <w:b/>
        </w:rPr>
        <w:t xml:space="preserve">Quelle: </w:t>
      </w:r>
      <w:r>
        <w:t>https://mcp.opencaselaw.ch/entscheid/bger_1B_165_2012</w:t>
      </w:r>
    </w:p>
    <w:p>
      <w:r>
        <w:t>FR: TF 1B 165/2012 du 12 avril 2012</w:t>
      </w:r>
    </w:p>
    <w:p>
      <w:r>
        <w:t>IT: TF 1B 165/2012 del 12 aprile 2012</w:t>
      </w:r>
    </w:p>
    <w:p>
      <w:pPr>
        <w:pStyle w:val="Heading2"/>
      </w:pPr>
      <w:r>
        <w:t>Regeste</w:t>
      </w:r>
    </w:p>
    <w:p>
      <w:r>
        <w:t>détention pour des motifs de sûreté | Procédure pénale</w:t>
      </w:r>
    </w:p>
    <w:p>
      <w:pPr>
        <w:pStyle w:val="Heading2"/>
      </w:pPr>
      <w:r>
        <w:t>Erwägungen</w:t>
      </w:r>
    </w:p>
    <w:p>
      <w:r>
        <w:rPr>
          <w:b/>
        </w:rPr>
        <w:t>E. 1</w:t>
      </w:r>
    </w:p>
    <w:p>
      <w:r>
        <w:t>Selon l' art. 78 LTF , le recours en matière pénale est ouvert contre les décisions rendues en matière pénale, notamment les décisions relatives à la détention provisoire ou pour des motifs de sûreté au sens des art. 212 ss CPP .</w:t>
      </w:r>
    </w:p>
    <w:p>
      <w:r>
        <w:rPr>
          <w:b/>
        </w:rPr>
        <w:t>E. 1.1</w:t>
      </w:r>
    </w:p>
    <w:p>
      <w:r>
        <w:t>Selon l'art. 81 al. 1 let. a et let. b ch. 1 LTF, le prévenu a qualité pour agir. Le recours est formé en temps utile ( art. 100 al. 1 LTF ) contre une décision rendue en dernière instance cantonale ( art. 80 LTF ). Les conclusions présentées sont en soi recevables au regard de l' art. 107 al. 2 LTF .</w:t>
      </w:r>
    </w:p>
    <w:p>
      <w:r>
        <w:rPr>
          <w:b/>
        </w:rPr>
        <w:t>E. 1.2</w:t>
      </w:r>
    </w:p>
    <w:p>
      <w:r>
        <w:t>La détention pour des motifs de sûreté a été ordonnée par le Tribunal de police, dans la perspective d'un appel contre son jugement. Dans son recours, le recourant indiquait qu'un tel appel a été annoncé. En réplique, il fait savoir que cet appel a été retiré afin de pouvoir demeurer en exécution de peine. Le recourant ne se trouve dès lors plus en détention pour des motifs de sûreté. Le recours n'en conserve pas moins un objet. La jurisprudence fait en effet exception à l'exigence d'un intérêt actuel au recours lorsque la contestation peut se reproduire en tout temps dans des circonstances identiques ou analogues, que sa nature ne permet pas de la trancher avant qu'elle ne perde son actualité et que, en raison de sa portée de principe, il existe un intérêt public suffisamment important à la solution de la question litigieuse ( ATF 137 I 23 consid. 1.3.1 p. 25, 120 consid. 2.2 p. 123; 137 II 40 consid. 2.1 p. 41). Ces conditions sont réunies en l'espèce. Le recourant a par ailleurs un intérêt à une modification de l'arrêt attaqué en ce qui concerne les frais mis à sa charge. Il y a lieu par conséquent d'entrer en matière.</w:t>
      </w:r>
    </w:p>
    <w:p>
      <w:r>
        <w:rPr>
          <w:b/>
        </w:rPr>
        <w:t>E. 2</w:t>
      </w:r>
    </w:p>
    <w:p>
      <w:r>
        <w:t>Le recourant estime que l'exécution des peines prononcées antérieurement constituerait une mesure de substitution à la détention pour des motifs de sûreté. Cela avait d'ailleurs déjà été ordonné par le Tribunal de mesures de contrainte le 6 décembre 2011. Le recourant estime qu'à la fin de l'exécution, l'autorité pourrait ordonner le cas échéant une nouvelle mise en détention pour des motifs de sûreté, en application des art. 232 et/ou 237 al. 5 CPP.</w:t>
      </w:r>
    </w:p>
    <w:p>
      <w:r>
        <w:rPr>
          <w:b/>
        </w:rPr>
        <w:t>E. 2.1</w:t>
      </w:r>
    </w:p>
    <w:p>
      <w:r>
        <w:t>Les motifs de détention au sens de l' art. 221 et 231 CPP ne sont pas contestés. Ils résident dans le risque de fuite et le risque de réitération, ce dernier était particulièrement évident compte tenu des nombreux antécédents du recourant. Toutefois, conformément au principe de la proportionnalité ( art. 36 al. 3 Cst. ), il convient d'examiner les possibilités de mettre en oeuvre d'autres solutions moins dommageables que la détention (règle de la nécessité). Cette exigence est concrétisée par l' art. 237 al. 1 CPP , qui prévoit que le tribunal compétent ordonne une ou plusieurs mesures moins sévères en lieu et place de la détention provisoire ou de la détention pour des motifs de sûreté si ces mesures permettent d'atteindre le même but que la détention. Conformément à l' art. 237 al. 5 CPP , le tribunal peut en tout temps révoquer les mesures de substitution, en ordonner d'autres ou prononcer la détention provisoire ou la détention pour des motifs de sûreté si des faits nouveaux l'exigent ou si le prévenu ne respecte pas les obligations qui lui ont été imposées.</w:t>
      </w:r>
    </w:p>
    <w:p>
      <w:r>
        <w:rPr>
          <w:b/>
        </w:rPr>
        <w:t>E. 2.2</w:t>
      </w:r>
    </w:p>
    <w:p>
      <w:r>
        <w:t>La mise à exécution des peines prononcées antérieurement permettrait assurément d'atteindre le même but que la détention pour des motifs de sûreté, soit d'éviter les risques de fuite et de réitération. Par ailleurs, il s'agirait d'une mesure moins dommageable puisque le recourant serait au bénéfice d'un régime carcéral moins sévère et pourrait, comme il le relève, bénéficier de la mise en place d'un plan de réinsertion professionnelle. L'objection soulevée par la cour cantonale tient à l'impossibilité, selon elle, de replacer le recourant en détention au cas où il serait libéré après avoir purgé ses deux peines ou obtenu la libération conditionnelle durant la procédure d'appel.</w:t>
      </w:r>
    </w:p>
    <w:p>
      <w:r>
        <w:rPr>
          <w:b/>
        </w:rPr>
        <w:t>E. 2.3</w:t>
      </w:r>
    </w:p>
    <w:p>
      <w:r>
        <w:t>Cette objection ne saurait être retenue. En effet, la liste des mesures de substitution énoncée à l' art. 237 CPP n'est pas exhaustive. En vertu du principe constitutionnel de la proportionnalité, l'autorité est tenue de substituer à la détention provisoire toute mesure moins incisive qui permettrait d'atteindre le même but (arrêt 1B_654/2011 du 7 décembre 2011). Elle peut, à cet effet, assortir cette mesure de toute condition propre à en garantir l'efficacité. Il n'est pas contesté en l'occurrence que le régime d'exécution des peines est compatible avec le but de la détention pour des motifs de sureté, qui est de prévenir la fuite et la réitération. Le Tmc l'a déjà constaté dans sa décision du 6 décembre 2011. Le juge de la détention peut dès lors prévoir par avance dans sa décision que le prévenu sera remis en détention pour des motifs de sûreté si l'exécution des peines devait prendre fin durant la procédure. Cette dernière circonstance ne constituerait certes pas un fait nouveau au sens de l' art. 237 al. 5 CPP , mais elle peut faire l'objet d'une condition à la mesure d'allègement accordée au recourant. L'autorité compétente pourrait ainsi préciser qu'une mise en détention pour des motifs de sûreté sera, le cas échéant, ordonnée à nouveau à la fin de l'exécution des peines, et devrait dans un tel cas prendre les dispositions nécessaires pour en être informée en temps utile.</w:t>
      </w:r>
    </w:p>
    <w:p>
      <w:r>
        <w:rPr>
          <w:b/>
        </w:rPr>
        <w:t>E. 2.4</w:t>
      </w:r>
    </w:p>
    <w:p>
      <w:r>
        <w:t>Le recours doit dès lors être admis pour ce motif. Il n'y a pas lieu, cela étant, d'examiner le grief relatif à l'exécution anticipée, car, sur ce point, le recours ne soulève pas une question de principe qui devrait être examinée indépendamment de tout intérêt actuel.</w:t>
      </w:r>
    </w:p>
    <w:p>
      <w:r>
        <w:rPr>
          <w:b/>
        </w:rPr>
        <w:t>E. 3</w:t>
      </w:r>
    </w:p>
    <w:p>
      <w:r>
        <w:t>Il s'ensuit que le recours doit être admis au sens des considérants qui précèdent. L'arrêt attaqué est annulé et la cause doit être renvoyée à la Chambre pénale de la Cour de justice genevoise pour nouvelle décision sur les frais et dépens. Il n'y a pas lieu de percevoir de frais judiciaires ( art. 66 al. 4 LTF ). L'Etat de Genève versera en revanche une indemnité de dépens à l'avocat du recourant ( art. 68 al. 1 LTF ), ce qui rend sans objet la demande d'assistance judiciaire.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