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1B_164/2012 vom 26. Juni 2012</w:t>
      </w:r>
    </w:p>
    <w:p>
      <w:r>
        <w:t>Bundesgericht, 2012-06-26, DE</w:t>
      </w:r>
    </w:p>
    <w:p>
      <w:r>
        <w:rPr>
          <w:b/>
        </w:rPr>
        <w:t xml:space="preserve">Quelle: </w:t>
      </w:r>
      <w:r>
        <w:t>https://mcp.opencaselaw.ch/entscheid/bger_1B_164_2012</w:t>
      </w:r>
    </w:p>
    <w:p>
      <w:r>
        <w:t>FR: TF 1B_164/2012 du 26 juin 2012</w:t>
      </w:r>
    </w:p>
    <w:p>
      <w:r>
        <w:t>IT: TF 1B_164/2012 del 26 giugno 2012</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hat am kantonalen Verfahren als Privatkläger mitgewirkt. Er hat zudem ein rechtlich geschütztes Interesse an der Aufhebung des angefochtenen Entscheids, weil sich dieser offenkundig auf die Beurteilung allfälliger Zivilansprüche auswirken kann (Art. 81 Abs. 1 lit. a und lit. b Ziff. 5 BGG).</w:t>
      </w:r>
    </w:p>
    <w:p>
      <w:r>
        <w:rPr>
          <w:b/>
        </w:rPr>
        <w:t>E. 2</w:t>
      </w:r>
    </w:p>
    <w:p>
      <w:r>
        <w:t>Nach Art. 310 Abs. 1 lit. a und b StPO wird ein Strafverfahren u.a. nicht an die Hand genommen, wenn die fraglichen Straftatbestände eindeutig nicht erfüllt sind oder Verfahrenshindernisse bestehen. Das Kantonsgericht geht im angefochtenen Entscheid einerseits davon aus, dass kein gültiger Strafantrag vorliegt, und dass anderseits die fraglichen Straftatbestände klarerweise nicht erfüllt sind.</w:t>
      </w:r>
    </w:p>
    <w:p>
      <w:r>
        <w:rPr>
          <w:b/>
        </w:rPr>
        <w:t>E. 2.1</w:t>
      </w:r>
    </w:p>
    <w:p>
      <w:r>
        <w:t>Wird eine strafbare Handlung durch Veröffentlichung in einem Medium begangen und erschöpft sie sich in dieser Veröffentlichung, so ist allein der Autor strafbar, wenn er bekannt ist und in der Schweiz vor Gericht gestellt werden kann ( Art. 28 Abs. 1 und 2 StGB ). Dem Beschwerdeführer war die Autorin des von ihm als ehrverletzend empfundenen Artikels bekannt. Insofern wäre es ihm möglich und zumutbar gewesen, den Strafantrag gegen sie persönlich zu stellen. Nach der Praxis des Bundesgerichts ist in dieser Konstellation ein Strafantrag ungültig, wenn er gegen "die Redaktion" des Mediums und nicht gegen die Autorin persönlich gerichtet ist ( BGE 97 IV 153 E. 3 S. 158). Daran ändert nichts, dass der Beschwerdeführer in der Begründung des Antrags den Namen der Autorin erwähnt. Das Kantonsgericht hat somit kein Bundesrecht verletzt, indem es die Nichtanhandnahmeverfügung mangels gültigen Strafantrags im Ergebnis schützte.</w:t>
      </w:r>
    </w:p>
    <w:p>
      <w:r>
        <w:rPr>
          <w:b/>
        </w:rPr>
        <w:t>E. 2.2</w:t>
      </w:r>
    </w:p>
    <w:p>
      <w:r>
        <w:t>Die Nichtanhandnahme wäre im Übrigen auch bei Vorliegen eines gültigen Strafantrags materiell nicht zu beanstanden. Eine Verurteilung wegen übler Nachrede oder Verleumdung setzt voraus, dass die behauptete ehrenrührige Tatsache objektiv unwahr ist ( Art. 173 Ziff. 1 und 2 StGB , Art. 174 Ziff. 1 StGB ). Das ist vorliegend offensichtlich nicht der Fall.</w:t>
      </w:r>
    </w:p>
    <w:p>
      <w:r>
        <w:t>Der Beschwerdeführer hat in seinem ersten Kleber in der Vorbemerkung ausgeführt, er werde, um einen Vergleich nicht zu unterlaufen, seinen Kontrahenten nicht mehr öffentlich der Lüge bezichtigen, sondern die Beurteilung dem Leser überlassen. Anschliessend konfrontierte er mehrere Tatsachenbehauptungen mit A.________ zugeschriebenen Aussagen, die den als wahr ("Fakt") dargestellten Behauptungen widersprechen. So wird beispielsweise als "Fakt 1" die Behauptung aufgestellt, die "involvierte Baudirektion hat nie eine positive Stellungnahme zum Patentgesuch des "To See" abgegeben. Unmittelbar darauf folgt in direkter Rede folgende, A.________ zugeschriebene Aussage: "Alle involvierten städtischen und kantonalen Ämter haben positive Stellungnahmen zum Patentgesuch des "To See" erteilt". Diese Gegenüberstellung von Tatsachenbehauptungen und damit nicht vereinbaren Aussagen kann vom unbefangenen Leser kaum anders verstanden werden denn als Nachweis dafür, dass A.________ im Zusammenhang mit der Angelegenheit "To See" nicht immer die Wahrheit sagte bzw. verschiedene Male log. Es ist zudem offensichtlich, dass diese Beweisführung dem Beschwerdeführer zuzurechnen ist. Sein Einwand, dass nicht er A.________ der Lüge bezichtige, sondern dass gleichsam die Fakten für sich selber sprächen, erscheint angesichts der von ihm selber vorgenommenen, tendenziösen Konfrontation von Fakten mit damit nicht vereinbaren Aussagen A.________s scheinheilig. Als geradezu mutwillig erweist sich der zweite Kleber, in welchem der Beschwerdeführer folgert, A.________ habe aufgrund der im ersten Kleber publizierten Informationen selber eingesehen, nicht die Wahrheit gesagt zu haben. Mit dieser ebenso perfiden wie durchsichtigen Unterstellung wollte der Beschwerdeführer offenkundig den bereits mit dem ersten Kleber erweckten Eindruck, A.________ habe in dieser Angelegenheit gelogen, noch verstärken. Die Aussage von C.________ im umstrittenen Zeitungsartikel vom 15. September 2010, der Beschwerdeführer bezichtige A.________ der Lüge, ist somit objektiv keineswegs unwahr, gleichgültig darum, ob sie sich darin auf den einen oder den anderen oder beide Kleber bezieht.</w:t>
      </w:r>
    </w:p>
    <w:p>
      <w:r>
        <w:rPr>
          <w:b/>
        </w:rPr>
        <w:t>E. 2.3</w:t>
      </w:r>
    </w:p>
    <w:p>
      <w:r>
        <w:t>Der Beschwerdeführer rügt, die Staatsanwaltschaft habe für die Nichtanhandnahmeverfügung zu viel Zeit beansprucht und das Beschleunigungsgebot verletzt.</w:t>
      </w:r>
    </w:p>
    <w:p>
      <w:r>
        <w:t>Nach dem strafprozessualen Beschleunigungsgebot von Art. 5 Abs. 1 StPO haben die Strafbehörden die Strafverfahren unverzüglich an die Hand zu nehmen und ohne unbegründete Verzögerungen zum Abschluss zu bringen. Der Zeitbedarf von rund einem Jahr für den Erlass einer Nichtanhandnahmeverfügung erweckt zwar gewisse Bedenken und liegt eher an der oberen Grenze des Zulässigen. Allerdings war die Angelegenheit in tatsächlicher Hinsicht nicht ganz einfach. Im Weiteren handelte es sich objektiv zwar nicht gerade um einen Bagatellfall, aber doch nicht um einen schweren Straffall, der eine prioritäre Behandlung geboten hätte. Insgesamt erscheint die Behandlung des Falles durch die Staatsanwaltschaft in zeitlicher Hinsicht als (gerade noch) vertretbar.</w:t>
      </w:r>
    </w:p>
    <w:p>
      <w:r>
        <w:rPr>
          <w:b/>
        </w:rPr>
        <w:t>E. 3</w:t>
      </w:r>
    </w:p>
    <w:p>
      <w:r>
        <w:t>Die Beschwerde ist somit abzuweisen.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