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1B_164/2007 vom 23. Oktober 2007</w:t>
      </w:r>
    </w:p>
    <w:p>
      <w:r>
        <w:t>Bundesgericht, 2007-10-23, FR</w:t>
      </w:r>
    </w:p>
    <w:p>
      <w:r>
        <w:rPr>
          <w:b/>
        </w:rPr>
        <w:t xml:space="preserve">Quelle: </w:t>
      </w:r>
      <w:r>
        <w:t>https://mcp.opencaselaw.ch/entscheid/bger_1B_164_2007</w:t>
      </w:r>
    </w:p>
    <w:p>
      <w:r>
        <w:t>FR: TF 1B_164/2007 du 23 octobre 2007</w:t>
      </w:r>
    </w:p>
    <w:p>
      <w:r>
        <w:t>IT: TF 1B_164/2007 del 23 ottobre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Interjeté par l'inculpé qui a succombé dans ses conclusions ( art. 81 al. 1 let. b LTF ) et dirigé contre une décision rendue en matière pénale ( art. 78 al. 1 LTF ) par une autorité cantonale de dernière instance ( art. 80 al. 1 LTF ), le recours, déposé dans le délai ( art. 100 al. 1 LTF ) et la forme ( art. 42 LTF ) prévus par la loi, est recevable.</w:t>
      </w:r>
    </w:p>
    <w:p>
      <w:r>
        <w:rPr>
          <w:b/>
        </w:rPr>
        <w:t>E. 3</w:t>
      </w:r>
    </w:p>
    <w:p>
      <w:r>
        <w:t>La décision attaquée porte sur le retrait d'un procès-verbal du dossier pénal. Elle est de nature incidente, puisqu'elle ne met pas un terme à la procédure pénale, de sorte que la recevabilité du recours doit être examinée au regard de l' art. 93 LTF .</w:t>
      </w:r>
    </w:p>
    <w:p>
      <w:r>
        <w:t>Dès lors que la décision ne porte pas sur la compétence ou sur une demande de récusation ( art. 92 LTF ), elle ne peut faire l'objet d'un recours au Tribunal fédéral que si une des deux conditions suivantes est remplie: soit elle est susceptible de causer un préjudice irréparable ( art. 93 al. 1 let. a LTF ), soit l'admission du recours peut conduire immédiatement à une décision finale qui permet d'éviter une procédure probatoire longue et coûteuse ( art. 93 al. 1 let. b LTF ) - hypothèse qui n'entre manifestement pas en considération ici.</w:t>
      </w:r>
    </w:p>
    <w:p>
      <w:r>
        <w:t>Dans la procédure de recours en matière pénale, la notion de préjudice irréparable correspond à celle de l'art. 87 al. 2 de l'ancienne loi d'organisation judiciaire (OJ), qui soumettait à la même condition la recevabilité du recours de droit public contre de telles décisions incidentes: il doit s'agir d'un dommage de nature juridique, qui ne puisse pas être réparé ultérieurement par un jugement final ou une autre décision favorable au recourant ( ATF 133 IV 139 consid. 4 p. 141).</w:t>
      </w:r>
    </w:p>
    <w:p>
      <w:r>
        <w:rPr>
          <w:b/>
        </w:rPr>
        <w:t>E. 3.1</w:t>
      </w:r>
    </w:p>
    <w:p>
      <w:r>
        <w:t>Le recourant fait valoir que l'impossibilité de solliciter d'autres actes d'instruction lui causerait un préjudice irréparable.</w:t>
      </w:r>
    </w:p>
    <w:p>
      <w:r>
        <w:t>En l'espèce, la Chambre d'accusation est entrée en matière sur le recours uniquement en tant qu'il concluait à l'annulation du procès-verbal du 19 mars 2007. Les griefs dirigés contre l'ordonnance de soit-communiqué ont été déclarés irrecevables, ce que le recourant ne conteste pas. Ce dernier ne saurait donc se plaindre de ne pas avoir eu l'occasion de solliciter d'autres actes d'instruction. Il ne spécifie du reste pas de quels actes il pourrait s'agir. Il est d'autant plus malaisé de concevoir leur nature que le recourant a admis les faits qui lui étaient reprochés. Quoi qu'il en soit, tant le Procureur général que l'autorité de jugement pourront ultérieurement compléter l'instruction s'ils devaient considérer celle-ci comme incomplète (art. 197 in fine, 225 al. 2 et 294 CPP/GE).</w:t>
      </w:r>
    </w:p>
    <w:p>
      <w:r>
        <w:rPr>
          <w:b/>
        </w:rPr>
        <w:t>E. 3.2</w:t>
      </w:r>
    </w:p>
    <w:p>
      <w:r>
        <w:t>Le recourant soutient également que l'impossibilité de poser des questions à l'expert psychiatre au stade de l'instruction ainsi que le refus de retirer le procès-verbal du 19 mars 2007 faisant mention de son absence non excusée ainsi que celle de son conseil, lui causeraient un dommage irréparable.</w:t>
      </w:r>
    </w:p>
    <w:p>
      <w:r>
        <w:rPr>
          <w:b/>
        </w:rPr>
        <w:t>E. 3.2.1</w:t>
      </w:r>
    </w:p>
    <w:p>
      <w:r>
        <w:t>L' art. 6 ch. 3 let . d CEDH garantit notamment à l'accusé le droit d'interroger ou de faire interroger les témoins à charge. Le même droit découle, sur le plan interne, du droit d'être entendu consacré par l' art. 29 al. 2 Cst. Cette garantie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 ATF 131 I 476 consid. 2.2 p. 480; 129 I 151 consid. 3.1 p. 153 s. et les références citées).</w:t>
      </w:r>
    </w:p>
    <w:p>
      <w:r>
        <w:t>La prétention ainsi conférée à l'accusé concrétise le droit à un procès équitable qui lui est garanti par l' art. 6 par. 1 CEDH ; c'est donc la procédure examinée dans son ensemble qui doit se révéler équitable ( ATF 129 I 151 consid. 3.1 p. 153). Par ailleurs, l' art. 6 par. 3 let . d CEDH, pris à la lettre, vise les témoins et non les experts. La Cour européenne des droits de l'homme examine donc les griefs relatifs aux experts sous l'angle de la règle générale de l' art. 6 par. 1 CEDH . Elle garde ce faisant toutefois à l'esprit les garanties de l' art. 6 par. 3 let . d CEDH ( ATF 127 I 73 consid. 3f p. 80 et les références citées).</w:t>
      </w:r>
    </w:p>
    <w:p>
      <w:r>
        <w:rPr>
          <w:b/>
        </w:rPr>
        <w:t>E. 3.2.2</w:t>
      </w:r>
    </w:p>
    <w:p>
      <w:r>
        <w:t>Dans le cas particulier, si le recourant devait être renvoyé en jugement - ce qui sera selon toute vraisemblance le cas - ce dernier aura la possibilité de requérir une confrontation avec l'expert lors des débats ( art. 223 et 256 CPP /GE).</w:t>
      </w:r>
    </w:p>
    <w:p>
      <w:r>
        <w:t>Le recourant pourra même soulever ses griefs ultérieurement, en particulier à l'occasion d'un recours contre le jugement final, si la prise en compte du procès-verbal litigieux devait avoir une incidence sur celui-ci. Cela dit, cette éventualité paraît peu probable, dans la mesure où il ne se plaint que de la mention dans ledit procès-verbal de son absence non excusée.</w:t>
      </w:r>
    </w:p>
    <w:p>
      <w:r>
        <w:t>Cela suffit par conséquent à garantir le respect des art. 6 par. 3 let . d CEDH et 29 al. 2 Cst. Pour le surplus, le recourant ne fait pas valoir que le droit cantonal prévoirait une protection plus large que les dispositions précitées.</w:t>
      </w:r>
    </w:p>
    <w:p>
      <w:r>
        <w:t>Dans ces conditions, le recourant ne démontrant pas l'existence d'un préjudice irréparable au sens de l'art. 93 al. 1 et. a LTF, l'ordonnance de la Chambre d'accusation ne peut pas directement être attaquée par la voie du recours en matière pénale.</w:t>
      </w:r>
    </w:p>
    <w:p>
      <w:r>
        <w:rPr>
          <w:b/>
        </w:rPr>
        <w:t>E. 4</w:t>
      </w:r>
    </w:p>
    <w:p>
      <w:r>
        <w:t>Le recours est par conséquent irrecevable. Un émolument judiciaire doit être mis à la charge du recourant (art. 65 al. 1 et 66 al. 1 LTF). Il n'est pas alloué de dépens, l'intimée n'ayant pas présenté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