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1B_162/2015 vom 1. Juli 2015</w:t>
      </w:r>
    </w:p>
    <w:p>
      <w:r>
        <w:t>Bundesgericht, 2015-07-01, FR</w:t>
      </w:r>
    </w:p>
    <w:p>
      <w:r>
        <w:rPr>
          <w:b/>
        </w:rPr>
        <w:t xml:space="preserve">Quelle: </w:t>
      </w:r>
      <w:r>
        <w:t>https://mcp.opencaselaw.ch/entscheid/bger_1B_162_2015</w:t>
      </w:r>
    </w:p>
    <w:p>
      <w:r>
        <w:t>FR: TF 1B_162/2015 du 1 juillet 2015</w:t>
      </w:r>
    </w:p>
    <w:p>
      <w:r>
        <w:t>IT: TF 1B_162/2015 del 1 luglio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une violation de l' art. 132 CPP . Il soutient que sa cause ne serait pas dénuée de gravité dès lors qu'il pourrait se voir infliger une peine privative de liberté allant jusqu'à un an selon l'art. 115 al. 1 LEtr. En outre, sa cause présenterait des difficultés en fait et en droit, le Ministère public n'ayant pas instruit sa situation administrative. Or, celle-ci serait déterminante pour apprécier les conditions d'application de l'art. 115 al. 1 let. a LEtr (cf. arrêt 6B_196/2012 du 24 janvier 2013 consid. 2).</w:t>
      </w:r>
    </w:p>
    <w:p>
      <w:r>
        <w:rPr>
          <w:b/>
        </w:rPr>
        <w:t>E. 2.1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w:t>
      </w:r>
    </w:p>
    <w:p>
      <w:r>
        <w:t>S'agissant de la seconde condition, elle s'interprète à l'aune des critères mentionnés à l' art. 132 al. 2 et 3 CPP . Ainsi, les intérêts du prévenu justifient une défense d'office lorsque la cause n'est pas de peu de gravité (infra consid. 2.2) et qu'elle présente, sur le plan des faits ou du droit, des difficultés que le prévenu seul ne pourrait pas surmonter (infra consid. 2.3); ces deux conditions mentionnées à l' art. 132 al. 2 CPP doivent être réunies cumulativement.</w:t>
      </w:r>
    </w:p>
    <w:p>
      <w:r>
        <w:rPr>
          <w:b/>
        </w:rPr>
        <w:t>E. 2.2</w:t>
      </w:r>
    </w:p>
    <w:p>
      <w:r>
        <w:t>S'agissant de la condition relative à la gravité de la cause, la loi statue qu'une affaire n'est pas de peu de gravité lorsque le prévenu est passible d'une peine privative de liberté de plus de quatre mois, d'une peine pécuniaire de plus de 120 jours-amende ou d'un travail d'intérêt général de plus de 480 heures ( art. 132 al. 3 CPP ). En l'espèce, le recourant est prévenu d'infraction aux art. 137 CP , 19a ch. 1 LStup et 115 al. 1 let. a LEtr et a fait l'objet d'une ordonnance pénale le condamnant à 60 jours de peine privative de liberté, ce qui constitue encore en soi un cas de peu de gravité au sens de l' art. 132 al. 3 CPP . La présente infraction est cependant intervenue dans le délai d'épreuve de cinq ans fixé à la peine privative de liberté de 180 jours prononcée avec sursis le 13 février 2013.</w:t>
      </w:r>
    </w:p>
    <w:p>
      <w:r>
        <w:t>L'autorité de jugement de première instance n'est pas liée par la peine prononcée, respectivement requise, par le Ministère public dans l'ordonnance pénale, celle-ci équivalant à la suite de l'opposition formée par le recourant à un acte d'accusation (cf. art. 356 al. 1 et 326 al. 1 let. f CPP); elle n'est pas non plus liée par la décision de renoncer à révoquer un sursis. Dans ces conditions, il n'est pas exclu que le juge de première instance statue sur la question de la quotité de la peine en défaveur du recourant (arrêt 1B_67/2015 du 14 avril 2015 consid. 2.2). De surcroît, il apparaît que, en application de l' art. 46 al. 1 CP , la question de la révocation du sursis accordé à la peine privative de liberté de 180 jours se pose très concrètement, ce qui pourrait conduire l'intéressé à être condamné à une peine privative de liberté de plus de quatre mois. Au vu du raisonnement qui va suivre, il n'est pas nécessaire d'approfondir cette question.</w:t>
      </w:r>
    </w:p>
    <w:p>
      <w:r>
        <w:rPr>
          <w:b/>
        </w:rPr>
        <w:t>E. 2.3</w:t>
      </w:r>
    </w:p>
    <w:p>
      <w:r>
        <w:t>Quant à la difficulté de la cause - deuxième condition exigée par l' art. 132 al. 2 CPP -, elle est notamment liée - selon le recourant - à l'application de l'art. 115 al. 1 let. b LEtr, disposition qui réprime pénalement le séjour illégal en Suisse.</w:t>
      </w:r>
    </w:p>
    <w:p>
      <w:r>
        <w:t>Selon le Tribunal fédéral, l'art. 115 al. 1 let. b LEtr doit être interprété conformément à la jurisprudence de la Cour de justice de l'Union européenne en rapport avec la directive du Parlement européen et du Conseil de l'Union européenne du 16 décembre 2008 sur le retour (Directive 2008/115/CE); cette directive s'oppose à une réglementation pénale nationale qui prévoirait une peine d'emprisonnement à un ressortissant d'un état tiers en séjour irrégulier pour le seul motif que celui-ci demeurerait, en violation d'un ordre de quitter le territoire de cet Etat dans un délai déterminé, sur ledit territoire sans motif justifié; en d'autres termes, pour être applicables, les dispositions pénales nationales - telles que l'art. 115 LEtr - supposent que les autorités administratives ont entrepris toutes les mesures raisonnables pour l'exécution de la décision de retour mais que la procédure y relative a échoué en raison du comportement de l'intéressé (arrêts 6B_196/2012 du 24 janvier 2013 consid. 2.1.2 et 6B_173/2013 du 19 août 2013 consid. 1.4 et les références citées).</w:t>
      </w:r>
    </w:p>
    <w:p>
      <w:r>
        <w:t>En l'occurrence, la cour cantonale a constaté que le recourant séjournait en France depuis quelques années, qu'il n'était pas poursuivi en application de l'art. 115 al. 1 LEtr pour séjour illégal (let. b), mais pour entrée illégale (let. a), de sorte qu'il était soustrait à l'application de la directive précitée. Une telle argumentation est conforme au droit. Il apparaît en effet que la directive en question a pour but de mettre en place une politique efficace d'éloignement et de rapatriement afin que les personnes concernées soient rapatriées de façon humaine et dans le respect intégral de leurs droits fondamentaux ainsi que de leur dignité (cf. Directive 2008/115/CE consid. 2; arrêt 6B_196/2012 précité, ibid.). Séjournant en France, l'intéressé n'a pas à être rapatrié dans son pays d'origine depuis la Suisse. Dans ces conditions, l'autorité de jugement n'a pas à chercher à savoir si des mesures administratives ont été prises à l'encontre du prévenu en vue d'exécuter une éventuelle décision d'expulsion du territoire suisse. Le recourant ne prétend par ailleurs pas que les autres infractions reprochées présenteraient des difficultés sur le plan des faits ou du droit qu'il ne serait pas en mesure de surmonter seul.</w:t>
      </w:r>
    </w:p>
    <w:p>
      <w:r>
        <w:rPr>
          <w:b/>
        </w:rPr>
        <w:t>E. 3</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