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1B_160/2018 vom 19. April 2018</w:t>
      </w:r>
    </w:p>
    <w:p>
      <w:r>
        <w:t>Bundesgericht, 2018-04-19, FR</w:t>
      </w:r>
    </w:p>
    <w:p>
      <w:r>
        <w:rPr>
          <w:b/>
        </w:rPr>
        <w:t xml:space="preserve">Quelle: </w:t>
      </w:r>
      <w:r>
        <w:t>https://mcp.opencaselaw.ch/entscheid/bger_1B_160_2018</w:t>
      </w:r>
    </w:p>
    <w:p>
      <w:r>
        <w:t>FR: TF 1B_160/2018 du 19 avril 2018</w:t>
      </w:r>
    </w:p>
    <w:p>
      <w:r>
        <w:t>IT: TF 1B_160/2018 del 19 aprile 2018</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pour des motifs de sûreté au sens des art. 212 ss CPP ( ATF 137 IV 22 consid. 1 p. 23). Selon l'art. 81 al. 1 let. a et b ch. 1 LTF, le prévenu - actuellement détenu - a qualité pour recourir.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Se référant aux art. 76 et 78 CPP , le recourant reproche à l'autorité précédente une constatation inexacte des faits. Il soutient que le comportement qui lui est reproché lors de la plaidoirie du conseil de la victime (cris et coups violents sur la table située devant lui) ne figurerait pas au procès-verbal de l'audience du 5 février 2018; faute de constatation, il serait dès lors arbitraire de retenir qu'il aurait adopté une telle attitude, ce qu'il conteste d'ailleurs. Selon le recourant, le défaut de mention de cet événement violerait également son droit d'être entendu, puisqu'il ne pourrait ainsi pas le remettre en cause.</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w:t>
      </w:r>
    </w:p>
    <w:p>
      <w:r>
        <w:rPr>
          <w:b/>
        </w:rPr>
        <w:t>E. 2.2</w:t>
      </w:r>
    </w:p>
    <w:p>
      <w:r>
        <w:t>Le procès-verbal au sens des art. 76 ss CPP sert de fondement pour la constatation de l'état de fait ( ATF 141 IV 20 consid. 1.4.4 p. 31) et permet par conséquent le contrôle du bon déroulement de la procédure par les instances judiciaires (PHILIPP NÄPFLI, in Basler Kommentar, Schweizerische Strafprozessordnung, Art. 1-195 StPO, 2e éd. 2014, no 12 ad art. 76 CPP ; DANIELA BRÜSCHWEILER, in D ONATSCH/HANSJAKOB/LIEBER (édit.), Kommentar zur Schweizerischen Strafprozessordnung, (StPO), 2e éd. 2014, no 2 ad art. 76 CPP ; NIKLAUS OBERHOLZER, Grundzüge des Strafprozessrechts, 3e éd. 2012, n° 1269 p. 450). Il existe ainsi une obligation de documentation de tout ce qui se produit durant la procédure pénale (JEANNERET/KUHN, Précis de procédure pénale, 2e éd. 2018, n° 5010 p. 126; NÄPFLI, op. cit., nos 4 ss ad art. 76 CPP ; BRÜSCHWEILER, op. cit., nos 1 ss ad art. 76 CPP ), à l'exception des moyens développés en plaidoirie (JEANNERET/KUHN, op. cit., note de bas de page n° 21 p. 126; MOREILLON/PAREIN-REYMOND, Petit commentaire, Code de procédure pénale, 2e éd. 2016, n° 5 ad art. 76 CPP ). Il découle notamment de cette obligation que lorsqu'un acte de procédure n'a pas été établi d'une manière ou d'une autre par écrit, il doit être consigné au procès-verbal ( art. 76 al. 1 CPP ; JEANNERET/KUHN, op. cit., n° 5010 p. 126; NÄPFLI, op. cit., n° 9 ad art. 76 CPP ; OBERHOLZER, op. cit., n° 1268 p. 450).</w:t>
      </w:r>
    </w:p>
    <w:p>
      <w:r>
        <w:t>Peuvent ainsi aussi figurer au procès-verbal des circonstances factuelles en lien avec le déroulement de la procédure et/ou d'une audition (cf. art. 77 let . f CPP; arrêt 1B_150/2016 du 19 mai 2016 consid. 2.3), soit par exemple la mention d'une perturbation par l'une ou l'autre des parties (NÄPFLI, op. cit., n° 1 et note de page n° 2 ad art. 76 CPP ). Cela se justifie notamment en cas de prononcé - immédiat ou ultérieur - d'une mesure de police d'audience par la direction de la procédure (cf. art. 63 CPP ).</w:t>
      </w:r>
    </w:p>
    <w:p>
      <w:r>
        <w:rPr>
          <w:b/>
        </w:rPr>
        <w:t>E. 2.3</w:t>
      </w:r>
    </w:p>
    <w:p>
      <w:r>
        <w:t>En l'occurrence, la mention du comportement reproché au recourant pendant la plaidoirie du conseil de son ex-épouse ne figure pas au procès-verbal de l'audience du 5 février 2018 (cf. p. 30 s. de ce document) et apparaît pour la première fois dans la motivation de la décision de placement en détention pour des motifs de sûreté. On peut ainsi douter, sous l'angle du droit d'être entendu, que s'y référer à titre de motivation soit admissible.</w:t>
      </w:r>
    </w:p>
    <w:p>
      <w:r>
        <w:t>Cela étant, dans son recours cantonal contre la mise en détention, le recourant n'a formulé aucune plainte en lien avec une telle violation. En particulier, il n'a pas soutenu avoir ignoré les motifs retenus par le tribunal de première instance pour ordonner son placement en détention au moment de déposer son recours (cf. en particulier la communication des motifs lors de la lecture du jugement au fond le 9 février 2018 [ad A p. 2 de l'arrêt attaqué]). Il n'a pas non plus indiqué n'avoir pas eu connaissance du contenu du procès-verbal de l'audience et ne le prétend d'ailleurs toujours pas devant le Tribunal fédéral. L'argumentation développée devant l'autorité de recours tendait uniquement à soutenir que ce "simple comportement verbal à l'encontre de l'avocat de son ex-femme" ne permettrait pas de retenir l'existence d'un risque de récidive (cf. ad 2/b p. 7 du mémoire cantonal). Ce faisant, le recourant entendait contester, non pas avoir eu l'attitude reprochée - étant d'ailleurs relevé que crier ou vociférer peut suffire à démontrer une certaine impulsivité et/ou agressivité -, mais l'appréciation qui en était faite par l'autorité de première instance.</w:t>
      </w:r>
    </w:p>
    <w:p>
      <w:r>
        <w:t>Vu les éléments à sa disposition (procès-verbal, motivation du Tribunal correctionnel et recours cantonal), il apparaît que la juridiction précédente pouvait, sans arbitraire, retenir que le recourant avait adopté le comportement reproché au cours de l'audience du 5 février 2018, constatation qui lie par conséquent le Tribunal fédéral. Partant, ce premier grief peut être écarté.</w:t>
      </w:r>
    </w:p>
    <w:p>
      <w:r>
        <w:rPr>
          <w:b/>
        </w:rPr>
        <w:t>E. 3</w:t>
      </w:r>
    </w:p>
    <w:p>
      <w:r>
        <w:t>Le recourant ne conteste pas l'existence de charges suffisantes pesant à son encontre ( art. 221 al. 1 CPP ) et ne remet pas non plus en cause la durée de la détention avant jugement subie eu égard à la peine concrètement encourue.</w:t>
      </w:r>
    </w:p>
    <w:p>
      <w:r>
        <w:t>Il reproche en revanche à l'autorité précédente d'avoir retenu l'existence d'un risque de récidive, respectivement soutient que celui-ci pourrait être pallié par le prononcé de mesures de substitution.</w:t>
      </w:r>
    </w:p>
    <w:p>
      <w:r>
        <w:rPr>
          <w:b/>
        </w:rPr>
        <w:t>E. 3.1</w:t>
      </w:r>
    </w:p>
    <w:p>
      <w:r>
        <w:t>A teneur de l' art. 221 al. 1 let . c CPP, la détention provisoire ne peut être ordonnée que lorsque le prévenu est fortement soupçonné d'avoir commis un crime ou un délit et qu'il y a sérieusement lieu de craindre qu'il compromette sérieusement la sécurité d'autrui par des crimes ou des délits graves après avoir déjà commis des infractions du même genre.</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 ATF 143 IV 9 consid. 2.8 p. 16 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143 IV 9 consid. 2.9 p. 17).</w:t>
      </w:r>
    </w:p>
    <w:p>
      <w:r>
        <w:t>Bien qu'une application littérale de l' art. 221 al. 1 let . c CPP suppose l'existence de deux antécédents au moins,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143 IV 9 consid. 2.3.1 p. 12 s. et les arrêts cités).</w:t>
      </w:r>
    </w:p>
    <w:p>
      <w:r>
        <w:rPr>
          <w:b/>
        </w:rPr>
        <w:t>E. 3.2</w:t>
      </w:r>
    </w:p>
    <w:p>
      <w:r>
        <w:t>En l'occurrence, le recourant se prévaut tout d'abord de l'absence d'acte de violence depuis sa libération de la détention provisoire le 10 octobre 2016. Dès lors que le comportement adopté lors de l'audience de jugement peut entrer en considération pour examiner l'existence d'un risque de récidive (cf. consid. 2.3 ci-dessus), ce grief peut être écarté. En effet, sa réaction constitue une modification des circonstances - ainsi que d'ailleurs le jugement de condamnation et la peine prononcée - permettant une nouvelle appréciation de ce danger.</w:t>
      </w:r>
    </w:p>
    <w:p>
      <w:r>
        <w:t>L'appréciation effectuée par l'autorité précédente se fonde sur différents éléments, soit en particulier le risque de récidive retenu par les experts psychiatres - certes qualifié de moyen -, le peu de recul et d'amendement que manifeste le recourant par rapport à ses actes - rendant en substance la victime responsable de ceux-ci - et la gravité du bien juridiquement protégé mis en cause lors des événements reprochés au recourant. Or, à ces premières circonstances déjà inquiétantes, s'ajoutent la lourde condamnation prononcée contre le recourant ainsi que le comportement de ce dernier au cours de l'audience du tribunal de première instance. Devant cette juridiction chargée d'examiner les graves faits qui lui sont reprochés et malgré la présence de deux policiers, le recourant n'a pas hésité à crier, voire à frapper la table se trouvant devant lui, au cours de la plaidoirie de l'avocat de son ex-épouse. Si, dans ce contexte particulier, le recourant n'a déjà pas été en mesure de se maîtriser, la cour cantonale était légitimement en droit de redouter d'autres actes impulsifs et violents s'il devait à nouveau se trouver confronté à une situation de conflit potentiel. Vu les biens juridiquement protégés en cause - vie et intégrité corporelle -, l'instance précédente était par conséquent justifiée à privilégier la sécurité publique.</w:t>
      </w:r>
    </w:p>
    <w:p>
      <w:r>
        <w:t>Partant, c'est sans violer le droit fédéral que l'autorité précédente a retenu l'existence d'un risque de récidive.</w:t>
      </w:r>
    </w:p>
    <w:p>
      <w:r>
        <w:rPr>
          <w:b/>
        </w:rPr>
        <w:t>E. 3.3</w:t>
      </w:r>
    </w:p>
    <w:p>
      <w:r>
        <w:t>L'existence du danger susmentionné dispense d'analyser ce qu'il en est d'un risque de fuite, respectivement les mesures de substitution proposées en lien avec celui-ci.</w:t>
      </w:r>
    </w:p>
    <w:p>
      <w:r>
        <w:t>Cette considération vaut également devant l'autorité de recours et, par conséquent, il ne peut être reproché, sous l'angle d'une violation du droit d'être entendu, à l'autorité précédente de ne pas être entrée en matière sur les arguments soulevés à cet égard par le recourant.</w:t>
      </w:r>
    </w:p>
    <w:p>
      <w:r>
        <w:rPr>
          <w:b/>
        </w:rPr>
        <w:t>E. 3.4</w:t>
      </w:r>
    </w:p>
    <w:p>
      <w:r>
        <w:t>Eu égard notamment à l'importance du bien juridiquement protégé, les mesures de substitution proposées par le recourant en lien avec le risque de récidive (interdiction de s'approcher de la victime, assignation à résidence et mise en place d'une surveillance électronique) ne sont pas suffisantes. Comme le relève le recourant, elles permettent avant tout de connaître sa position ainsi que les éventuelles violations de ses obligations. Vu son impulsivité, elles ne permettent en revanche pas de garantir qu'il ne s'en prendrait pas à nouveau à l'intégrité physique de la victime et/ou d'autres personnes.</w:t>
      </w:r>
    </w:p>
    <w:p>
      <w:r>
        <w:rPr>
          <w:b/>
        </w:rPr>
        <w:t>E. 3.5</w:t>
      </w:r>
    </w:p>
    <w:p>
      <w:r>
        <w:t>Au regard de l'ensemble de ces considérations, la Chambre des recours pénale pouvait donc, sans violer le droit fédéral, confirmer le placement en détention pour des motifs de sûreté du recourant.</w:t>
      </w:r>
    </w:p>
    <w:p>
      <w:r>
        <w:rPr>
          <w:b/>
        </w:rPr>
        <w:t>E. 4</w:t>
      </w:r>
    </w:p>
    <w:p>
      <w:r>
        <w:t>Il s'ensuit que le recours est rejeté.</w:t>
      </w:r>
    </w:p>
    <w:p>
      <w:r>
        <w:t>Le recourant a demandé l'octroi de l'assistance judiciaire ( art. 64 al. 1 LTF ). Vu la problématique soulevée en lien avec le procès-verbal, le stade de la procédure et le risque retenu, son recours n'était pas d'emblée dénué de chances de succès et cette requête doit être admise. Il y a lieu de désigner Me Pascal de Preux en tant qu'avocat d'office et de lui allouer une indemnité à titre d'honoraires, qui seront supportés par la caisse du tribunal; cette indemnité sera fixée eu égard à la liste de frais produite.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