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1B_160/2017 vom 19. Juli 2017</w:t>
      </w:r>
    </w:p>
    <w:p>
      <w:r>
        <w:t>Bundesgericht, 2017-07-19, DE</w:t>
      </w:r>
    </w:p>
    <w:p>
      <w:r>
        <w:rPr>
          <w:b/>
        </w:rPr>
        <w:t xml:space="preserve">Quelle: </w:t>
      </w:r>
      <w:r>
        <w:t>https://mcp.opencaselaw.ch/entscheid/bger_1B_160_2017</w:t>
      </w:r>
    </w:p>
    <w:p>
      <w:r>
        <w:t>FR: TF 1B_160/2017 du 19 juillet 2017</w:t>
      </w:r>
    </w:p>
    <w:p>
      <w:r>
        <w:t>IT: TF 1B_160/2017 del 19 luglio 2017</w:t>
      </w:r>
    </w:p>
    <w:p>
      <w:pPr>
        <w:pStyle w:val="Heading2"/>
      </w:pPr>
      <w:r>
        <w:t>Erwägungen</w:t>
      </w:r>
    </w:p>
    <w:p>
      <w:r>
        <w:rPr>
          <w:b/>
        </w:rPr>
        <w:t>E. 1.1</w:t>
      </w:r>
    </w:p>
    <w:p>
      <w:r>
        <w:t>Das Bundesgericht prüft von Amtes wegen und frei, ob auf die Beschwerde eingetreten werden kann ( BGE 140 IV 57 E. 2 S. 59).</w:t>
      </w:r>
    </w:p>
    <w:p>
      <w:r>
        <w:t>Die Legitimation zur Beschwerde in Strafsachen richtet sich nach Art. 81 BGG . Der Staatsanwaltschaft steht das Beschwerderecht in Strafsachen nach Art. 81 Abs. 1 lit. b Ziff. 3 BGG grundsätzlich ohne Einschränkung zu ( BGE 134 IV 36 E. 1.4 S. 39 ff. mit Hinweisen).</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Ob jedoch nur einem und gegebenenfalls welchem oder mehreren Staatsanwälten nebeneinander die Befugnis zukommt, Beschwerde in Strafsachen zu führen, entscheidet sich nach dem Bundesgerichtsgesetz. Besteht eine für den ganzen Kanton zuständige Oberstaatsanwaltschaft oder eine vergleichbare Behörde, die innerhalb des Kantons für eine einheitliche Rechtsanwendung zu sorgen hat und Rechtsmittel vor den letzten kantonalen Instanzen ergreifen kann, ist diese allein zur Beschwerde in Strafsachen legitimiert (vgl. zum Ganzen BGE 142 IV 196 E. 1.2 ff. S. 198 ff.; Urteile 6B_117/2014 vom 5. Februar 2015 E. 1.1 und 6B_949/2013 vom 3. Februar 2014 E. 1.2 ff.). Die Frage dagegen, wer innerhalb dieser Behörde zu deren Vertretung zuständig ist, ist eine Frage der Gerichtsorganisation, das heisst eine Frage, die in die Zuständigkeit des kantonalen Rechts fällt (vgl. Art. 14 StPO ; BGE 142 IV 196 E. 1.5.2 S. 200).</w:t>
      </w:r>
    </w:p>
    <w:p>
      <w:r>
        <w:rPr>
          <w:b/>
        </w:rPr>
        <w:t>E. 1.2</w:t>
      </w:r>
    </w:p>
    <w:p>
      <w:r>
        <w:t>Im Kanton Bern ist somit allein die Generalstaatsanwaltschaft zur Beschwerde in Strafsachen legitimiert. Der Regionalen Staatsanwaltschaft Berner Jura-Seeland ist die Beschwerdeberechtigung hingegen abzusprechen.</w:t>
      </w:r>
    </w:p>
    <w:p>
      <w:r>
        <w:t>Mit Verfügung vom 26. April 2017 hat zwar die Generalstaatsanwaltschaft die regionale Staatsanwältin in Anwendung von Art. 90 Abs. 4 des kantonalen Gesetzes über die Organisation der Gerichtsbehörden und der Staatsanwaltschaft vom 11. Juni 2009 (GSOG; BSG 161.1) mit der Wahrnehmung der staatsanwaltschaftlichen Aufgaben betraut und als ausserordentliche Generalstaatsanwältin eingesetzt. Dies ändert jedoch nichts daran, dass die Generalstaatsanwaltschaft nicht selbst Beschwerde geführt hat. Die Staatsanwaltschaft Region Berner Jura-Seeland ihrerseits hat die Beschwerde nicht im Namen der Generalstaatsanwaltschaft, sondern ausdrücklich in eigenem Namen eingereicht und sich hierzu in Widerspruch zur publizierten bundesgerichtlichen Rechtsprechung ( BGE 142 IV 196 ) als berechtigt erachtet.</w:t>
      </w:r>
    </w:p>
    <w:p>
      <w:r>
        <w:t>Im Übrigen erfolgte die Einsetzung (26. April 2017) ohnehin erst nach Ablauf der Beschwerdefrist (24. April 2017).</w:t>
      </w:r>
    </w:p>
    <w:p>
      <w:r>
        <w:rPr>
          <w:b/>
        </w:rPr>
        <w:t>E. 1.3</w:t>
      </w:r>
    </w:p>
    <w:p>
      <w:r>
        <w:t>Auf die von der nicht legitimierten Staatsanwaltschaft Region Berner Jura-Seeland in eigenem Namen erhobene Beschwerde kann nach dem Gesagten nicht eingetreten werden (vgl. auch Urteil 6B_949/2013 vom 3. Februar 2014 E. 2.2).</w:t>
      </w:r>
    </w:p>
    <w:p>
      <w:r>
        <w:rPr>
          <w:b/>
        </w:rPr>
        <w:t>E. 2</w:t>
      </w:r>
    </w:p>
    <w:p>
      <w:r>
        <w:t>Bei diesem Verfahrensausgang sind keine Kosten zu erheben ( Art. 66 Abs. 1 und 4 BGG ). Hingegen hat der Kanton Bern den obsiegenden Beschwerdegegner für das bundesgerichtliche Verfahren angemessen zu entschädigen ( Art. 68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