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1B_159/2020 vom 3. April 2020</w:t>
      </w:r>
    </w:p>
    <w:p>
      <w:r>
        <w:t>Bundesgericht, 2020-04-03, DE</w:t>
      </w:r>
    </w:p>
    <w:p>
      <w:r>
        <w:rPr>
          <w:b/>
        </w:rPr>
        <w:t xml:space="preserve">Quelle: </w:t>
      </w:r>
      <w:r>
        <w:t>https://mcp.opencaselaw.ch/entscheid/bger_1B_159_2020</w:t>
      </w:r>
    </w:p>
    <w:p>
      <w:r>
        <w:t>FR: TF 1B_159/2020 du 3 avril 2020</w:t>
      </w:r>
    </w:p>
    <w:p>
      <w:r>
        <w:t>IT: TF 1B_159/2020 del 3 aprile 2020</w:t>
      </w:r>
    </w:p>
    <w:p>
      <w:pPr>
        <w:pStyle w:val="Heading2"/>
      </w:pPr>
      <w:r>
        <w:t>Erwägungen</w:t>
      </w:r>
    </w:p>
    <w:p>
      <w:r>
        <w:rPr>
          <w:b/>
        </w:rPr>
        <w:t>E. 1</w:t>
      </w:r>
    </w:p>
    <w:p>
      <w:r>
        <w:t>Die Staatsanwaltschaft I des Kantons Zürich führt ein Strafverfahren gegen A.________ wegen Gewalt und Drohung gegen Behörden und Beamte etc. Mit Verfügung vom 4. Februar 2019 stellte die Staatsanwaltschaft fest, dass A.________ vernehmungsfähig sei. Die Staatsanwaltschaft lehnte eine Erstreckung der Frist zur Stellungnahme der Verteidigung von A.________ zu einem Gutachten vom 28. Oktober 2018 ab. Weiter lehnte sie den Antrag ab, bei Dr. B.________ einen Bericht betreffend Vernehmungsfähigkeit einzuholen. A.________ erhob gegen diese Verfügung am 18. Februar 2019 Beschwerde, welche die III. Strafkammer des Obergerichts des Kantons Zürich mit Beschluss vom 9. März 2020 abwies, soweit sie darauf eintrat. Die III. Strafkammer führte zur Begründung zusammenfassend aus, dass sich die Beschwerdeführerin bezüglich der Frage der Einvernahmefähigkeit widersprüchlich verhalte. Während sie die Staatsanwaltschaft um einen Einvernahmetermin ersuche und damit ihre Einvernahmefähigkeit signalisiere, mache sie bei der Beschwerdeinstanz geltend, sie sei einvernahmeunfähig und es sei unzulässig einen Einvernahmetermin festzusetzen. Widersprüchliches Prozessgebaren finde keinen Rechtsschutz, weshalb die Beschwerde insoweit unbegründet sei. Weiter sei nicht ersichtlich, weshalb die Staatsanwaltschaft die Frist zur Stellungnahme hätte verlängern müssen. Den abgelehnten Beweisantrag könne die Beschwerdeführerin vor dem erstinstanzlichen Gericht wiederholen. Die Beschwerdeführerin nenne keinen Rechtsnachteil, den sie dabei erleiden würde. Ein solcher sei auch nicht ersichtlich. Die Beschwerde sei insofern unsubstantiiert, da sich die Beschwerdeführerin nicht zu dieser Eintretensvoraussetzung geäussert habe.</w:t>
      </w:r>
    </w:p>
    <w:p>
      <w:r>
        <w:rPr>
          <w:b/>
        </w:rPr>
        <w:t>E. 2</w:t>
      </w:r>
    </w:p>
    <w:p>
      <w:r>
        <w:t>A.________ führt mit Eingabe vom 24. März 2020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Beschwerdeführerin setzt sich nicht rechtsgenüglich mit den Ausführungen der III. Strafkammer auseinander. Mit der Darstellung ihrer Sicht der Dinge vermag sie nicht aufzuzeigen, dass die III. Strafkammer bei der Beurteilung der Beschwerde Recht im Sinne von Art. 42 Abs. 2 BGG verletzt hätte. Die Beschwerdeführerin legt nicht konkret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