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1B_158/2013 vom 29. April 2013</w:t>
      </w:r>
    </w:p>
    <w:p>
      <w:r>
        <w:t>Bundesgericht, 2013-04-29, DE</w:t>
      </w:r>
    </w:p>
    <w:p>
      <w:r>
        <w:rPr>
          <w:b/>
        </w:rPr>
        <w:t xml:space="preserve">Quelle: </w:t>
      </w:r>
      <w:r>
        <w:t>https://mcp.opencaselaw.ch/entscheid/bger_1B_158_2013</w:t>
      </w:r>
    </w:p>
    <w:p>
      <w:r>
        <w:t>FR: TF 1B_158/2013 du 29 avril 2013</w:t>
      </w:r>
    </w:p>
    <w:p>
      <w:r>
        <w:t>IT: TF 1B_158/2013 del 29 aprile 2013</w:t>
      </w:r>
    </w:p>
    <w:p>
      <w:pPr>
        <w:pStyle w:val="Heading2"/>
      </w:pPr>
      <w:r>
        <w:t>Erwägungen</w:t>
      </w:r>
    </w:p>
    <w:p>
      <w:r>
        <w:rPr>
          <w:b/>
        </w:rPr>
        <w:t>E. 1</w:t>
      </w:r>
    </w:p>
    <w:p>
      <w:r>
        <w:t>X.________ erstattete am 27. Dezember 2010 Strafanzeige gegen unbekannte Polizeibeamte wegen Aussetzung ( Art. 127 StGB ) zum Nachteil ihres am 22. September 1977 geborenen Sohnes Y.________. Die Anzeige bezog sich auf einen Vorfall vom 13. Januar 2001. Die Staatsanwaltschaft Abteilung 3 Sursee stellte mit Verfügung vom 12. Dezember 2012 fest, dass im Verfahren gegen Unbekannt wegen schwerer Körperverletzung, Aussetzung, Gefährdung des Lebens, Amtsmissbrauchs sowie weiterer noch nicht verjährter Delikte im Zusammenhang mit dem Vorfall vom 13. Januar 2001 zum Nachteil von Y.________ der Anzeigeerstatterin keine Verfahrensrechte einer Partei zustünden. Dagegen erhob X.________ sowohl Beschwerde beim Obergericht des Kantons Luzern als auch beim Bundesgericht. Das Bundesgericht trat mit Urteil vom 28. Dezember 2012 mangels Letztinstanzlichkeit auf die Beschwerde nicht ein (1B_778/2012). Das Obergericht des Kantons Luzern trat mit Verfügung vom 15. März 2013 auf die Beschwerde ebenfalls nicht ein. Es führte zusammenfassend aus, dass bereits mangels einer genügenden Begründung auf die Beschwerde nicht einzutreten sei.</w:t>
      </w:r>
    </w:p>
    <w:p>
      <w:r>
        <w:rPr>
          <w:b/>
        </w:rPr>
        <w:t>E. 2</w:t>
      </w:r>
    </w:p>
    <w:p>
      <w:r>
        <w:t>X.________ führt mit Eingabe vom 17. April 2013 (Postaufgabe 22. April 2013) Beschwerde in Strafsachen gegen die Verfügung des Obergerichts des Kantons Luzern.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Wird beispielsweise eine Verletzung des Willkürverbots geltend gemacht, muss im einzelnen dargelegt werden, inwiefern der angefochtene Entscheid an einem qualifizierten und offensichtlichen Mangel leidet ( BGE 134 II 244 E. 2.2 S. 246). Das Bundesgericht prüft nur klar und detailliert erhobene und, soweit möglich, belegte Rügen.</w:t>
      </w:r>
    </w:p>
    <w:p>
      <w:r>
        <w:t>Die Beschwerdeführerin legt nicht dar, inwiefern die der Verfügung zugrunde liegende Begründung, die zum Nichteintreten auf ihre Beschwerde führte, bzw. die Verfügung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