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1B_157/2022 vom 27. September 2022</w:t>
      </w:r>
    </w:p>
    <w:p>
      <w:r>
        <w:t>Bundesgericht, 2022-09-27, DE</w:t>
      </w:r>
    </w:p>
    <w:p>
      <w:r>
        <w:rPr>
          <w:b/>
        </w:rPr>
        <w:t xml:space="preserve">Quelle: </w:t>
      </w:r>
      <w:r>
        <w:t>https://mcp.opencaselaw.ch/entscheid/bger_1B_157_2022</w:t>
      </w:r>
    </w:p>
    <w:p>
      <w:r>
        <w:t>FR: TF 1B_157/2022 du 27 septembre 2022</w:t>
      </w:r>
    </w:p>
    <w:p>
      <w:r>
        <w:t>IT: TF 1B_157/2022 del 27 settembre 2022</w:t>
      </w:r>
    </w:p>
    <w:p>
      <w:pPr>
        <w:pStyle w:val="Heading2"/>
      </w:pPr>
      <w:r>
        <w:t>Erwägungen</w:t>
      </w:r>
    </w:p>
    <w:p>
      <w:r>
        <w:rPr>
          <w:b/>
        </w:rPr>
        <w:t>E. 1</w:t>
      </w:r>
    </w:p>
    <w:p>
      <w:r>
        <w:t>Angefochten ist eine kantonal letztinstanzliche prozessleitende Verfügung im Berufungsverfahren. Die Vorinstanz entschied, die auf den 30. März 2022 angesetzte Berufungsverhandlung werde nicht verschoben und die Beschwerdeführerin habe (für eine Einvernahme) daran teilzunehmen. Es handelt sich um einen Zwischenentscheid, der das hängige Strafverfahren nicht abschliesst (vgl. Art. 93 Abs. 1 lit. a BGG ).</w:t>
      </w:r>
    </w:p>
    <w:p>
      <w:r>
        <w:rPr>
          <w:b/>
        </w:rPr>
        <w:t>E. 2</w:t>
      </w:r>
    </w:p>
    <w:p>
      <w:r>
        <w:t>Der Instruktionsrichter entscheidet als Einzelrichter über die Abschreibung von Verfahren zufolge Gegenstandslosigkeit ( Art. 32 Abs. 2 BGG ). Über die Kostenfolgen ist aufgrund der Sachlage vor Eintritt des Erledigungsgrundes mit summarischer Begründung zu entscheiden ( Art. 72 BZP i.V.m. Art. 71 BGG ).</w:t>
      </w:r>
    </w:p>
    <w:p>
      <w:r>
        <w:t>Indem die auf den 30. März 2022 angesetzte Berufungsverhandlung mit bundesgerichtlicher Verfügung vom 28. März 2022 kurzfristig abgesetzt worden ist, wurde den streitigen Anträgen der Beschwerdeführerin vom 17. März 2022 und ihren Rechtsbegehren um Absetzung und Verschiebung der Berufungsverhandlung faktisch Folge geleistet. Die Beschwerde ist somit als gegenstandslos geworden abzuschreiben.</w:t>
      </w:r>
    </w:p>
    <w:p>
      <w:r>
        <w:t>Über die Kosten- und Entschädigungsfolgen ist nach dem voraussichtlichen Ausgang des Beschwerdeverfahrens vor Eintreten des Abschreibungsgrundes - mit summarischer Begründung - zu entscheiden. Auf die Beschwerde wäre vor Eintreten der Gegenstandslosigkeit voraussichtlich nicht einzutreten gewesen. Aus einer gerichtlichen Vorladung als Privatklägerin zur Berufungsverhandlung und einer allfälligen eigenen Beweisaussage als Partei wäre der Beschwerdeführerin kein erkennbarer Rechtsnachteil im Sinne von Art. 93 Abs. 1 lit. a BGG entstanden. Auch die von der Privatklägerin vorgebrachten persönlichen Motive, die Einvernahme zu verschieben, hätten für sich alleine wohl keinen nicht wieder gutzumachenden Rechtsnachteil im Sinne des Gesetzes begründet. Insbesondere erschiene kaum ausreichend dargetan, dass ihr eine erhebliche Gesundheitsbeeinträchtigung oder sonstwie eine rechtswidrige Behandlung gedroht hätte, die nicht mehr rechtzeitig hätte korrigiert werden können. Dies scheint hier umso weniger der Fall gewesen zu sein, als die Verfahrensleitung des Berufungsgerichtes nötigenfalls auch noch anlässlich der Berufungsverhandlung eine etwaige aktuelle Einvernahmeunfähigkeit oder einen sonstigen gesetzlichen Dispensationsgrund hätte feststellen können. Die Frage, ob für einen späteren Verhandlungstermin als der 30. März 2022 ein gesetzlicher Dispensations- oder Verschiebungsgrund bestünde oder nicht, bildet nicht Gegenstand der angefochtenen prozessleitenden Verfügung. Auch auf unzulässige Noven ist nicht einzugehen ( Art. 99 Abs. 1 BGG ).</w:t>
      </w:r>
    </w:p>
    <w:p>
      <w:r>
        <w:t>Das Gesuch der Beschwerdeführerin um unentgeltliche Rechtspflege kann im vorliegenden Fall gutgeheissen werden ( Art. 64 und Art. 71 BGG i.V.m. Art. 72 BZP ). Eine Parteientschädigung ist nicht zuzusprechen; das gilt auch für den privaten Verfahrensbeteiligten, der sich auf das Verfahren nicht mit eigenen Rechtsbegehren eingelassen hat (vgl. Art. 68 BGG ).</w:t>
      </w:r>
    </w:p>
    <w:p>
      <w:r>
        <w:t>Demnacherkennt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