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157/2013 vom 29. August 2013</w:t>
      </w:r>
    </w:p>
    <w:p>
      <w:r>
        <w:t>Bundesgericht, 2013-08-29, DE</w:t>
      </w:r>
    </w:p>
    <w:p>
      <w:r>
        <w:rPr>
          <w:b/>
        </w:rPr>
        <w:t xml:space="preserve">Quelle: </w:t>
      </w:r>
      <w:r>
        <w:t>https://mcp.opencaselaw.ch/entscheid/bger_1B_157_2013</w:t>
      </w:r>
    </w:p>
    <w:p>
      <w:r>
        <w:t>FR: TF 1B 157/2013 du 29 août 2013</w:t>
      </w:r>
    </w:p>
    <w:p>
      <w:r>
        <w:t>IT: TF 1B 157/2013 del 29 agosto 2013</w:t>
      </w:r>
    </w:p>
    <w:p>
      <w:pPr>
        <w:pStyle w:val="Heading2"/>
      </w:pPr>
      <w:r>
        <w:t>Regeste</w:t>
      </w:r>
    </w:p>
    <w:p>
      <w:r>
        <w:t>Strafverfahren; Parteistellung | Strafprozess</w:t>
      </w:r>
    </w:p>
    <w:p>
      <w:pPr>
        <w:pStyle w:val="Heading2"/>
      </w:pPr>
      <w:r>
        <w:t>Erwägungen</w:t>
      </w:r>
    </w:p>
    <w:p>
      <w:r>
        <w:rPr>
          <w:b/>
        </w:rPr>
        <w:t>E. 1</w:t>
      </w:r>
    </w:p>
    <w:p>
      <w:r>
        <w:t>Der angefochtene Entscheid bestätigt den Ausschluss der Beschwerdeführerin als Privatklägerin vom Strafverfahren. Er schliesst damit das Verfahren für sie ab. Es handelt sich um den Endentscheid einer letzten kantonalen Instanz in einer Strafsache, gegen den die Beschwerde in Strafsachen zulässig ist ( Art. 78 Abs. 1, Art. 80 Abs. 1, Art. 90 BGG ). Die Beschwerdeführerin ist somit zur Beschwerde befugt, wenn sie sich als Privatklägerin am kantonalen Verfahren beteiligt oder keine Möglichkeit zur Teilnahme erhalten hat und sich der angefochtene Entscheid auf die Beurteilung allfälliger Zivilansprüche auswirken kann (Art. 81 Abs. 1 lit. a und lit. b Ziff. 5 BGG).</w:t>
      </w:r>
    </w:p>
    <w:p>
      <w:r>
        <w:rPr>
          <w:b/>
        </w:rPr>
        <w:t>E. 1.1</w:t>
      </w:r>
    </w:p>
    <w:p>
      <w:r>
        <w:t>Der Beschwerdegegner hat der Y.________ Vorsorgestiftung nach der Überzeugung des Wirtschaftsstrafgerichts in strafbarer bzw. vertragswidriger Weise 1 Mio. Franken entzogen, womit eine Letzterer zustehende, zivilrechtliche Schadenersatzforderung entstanden ist ( Art. 52 Abs. 1 BVG ; ISABELLE VETTER-SCHREIBER, Kommentar BVG/FZG, Zürich, 3. A. 2013, N. 1 zu Art. 52). Die Beschwerdeführerin hat gestützt auf Art. 56 Abs. 1 lit. b BVG die offen gebliebenen Leistungen der Y.________ Vorsorgestiftung in Liquidation übernommen und ist nach Art. 56a Abs. 1 BVG in diesem Umfang in deren Ansprüche eingetreten. Sowohl die Leistungspflicht der Beschwerdeführerin als auch die gesetzliche Subrogation haben somit ihre Grundlage im öffentlichen Recht; das ändert aber nichts daran, dass es sich bei der Forderung der Y.________ Vorsorgestiftung in Liquidation gegen den Beschwerdegegner, in die sie im Umfang ihrer Insolvenzleistungen eingetreten ist, um eine zivilrechtliche Forderung handelt. Der Ausgang des Strafverfahrens gegen den Beschwerdegegner kann sich somit im Sinn von Art. 81 Abs. 1 lit. b Ziff. 5 BGG auf die Beurteilung der Zivilansprüche der Beschwerdeführerin auswirken.</w:t>
      </w:r>
    </w:p>
    <w:p>
      <w:r>
        <w:rPr>
          <w:b/>
        </w:rPr>
        <w:t>E. 1.2</w:t>
      </w:r>
    </w:p>
    <w:p>
      <w:r>
        <w:t>Als Rechtsnachfolgerin der unmittelbar geschädigten Y.________ Vorsorgestiftung ist die Beschwerdeführerin zwar nur mittelbar geschädigt, was zur Begründung der Befugnis zur Geltendmachung von Zivilforderungen im Strafverfahren grundsätzlich nicht ausreicht ( Art. 115 Abs. 1 StPO ; MAZZUCCHELLI/POSTIZZI in: Basler Kommentar, Schweizerische Strafprozessordnung, 2011, N. 26 zu Art. 115; VIKTOR LIEBER in: Donatsch/Hansjakob/Lieber, Kommentar zur Schweizerischen Strafprozessordnung, 2010, N. 9 zu Art. 121). Als gesetzliche Rechtsnachfolgerin ist die Beschwerdeführerin dagegen kraft der besonderen Bestimmung von Art. 121 Abs. 2 StPO zur Teilnahme am Strafverfahren befugt, wobei ihr nur jene Verfahrensrechte zustehen, die sich unmittelbar auf die Durchsetzung der Zivilklage beziehen. Die Beschwerdeführerin hätte somit im Strafverfahren als Zivilklägerin zugelassen werden müssen. Sie ist damit befugt, sich gegen ihren Ausschluss vom Strafverfahren vor Bundesgericht zur Wehr zu setzen ( Art. 81 Abs. 1 lit. a BGG ).</w:t>
      </w:r>
    </w:p>
    <w:p>
      <w:r>
        <w:rPr>
          <w:b/>
        </w:rPr>
        <w:t>E. 1.3</w:t>
      </w:r>
    </w:p>
    <w:p>
      <w:r>
        <w:t>Die übrigen Sachurteilsvoraussetzungen geben zu keinen Bemerkungen Anlass, womit auf die Beschwerde einzutreten ist.</w:t>
      </w:r>
    </w:p>
    <w:p>
      <w:r>
        <w:rPr>
          <w:b/>
        </w:rPr>
        <w:t>E. 2</w:t>
      </w:r>
    </w:p>
    <w:p>
      <w:r>
        <w:t>Mit der Beantwortung dieser Eintretensfrage ist zugleich auch der dem Bundesgericht unterbreitete Rechtsstreit materiell entschieden: Das Obergericht hat Bundesrecht verletzt, indem es den vom Wirtschaftsstrafgericht vorgenommenen Ausschluss der Beschwerdeführerin als Zivilklägerin vom Strafverfahren schützte. Insbesondere kann der vorinstanzlichen Argumentation nicht gefolgt werden, wonach adhäsionsfähig lediglich Zivilansprüche seien, die auf dem Zivilweg vor einem Zivilgericht eingeklagt werden können. Nach Art. 73 Abs. 1 lit. c BVG entscheidet das Gericht, das für die Beurteilung von Streitigkeiten zwischen Vorsorgeeinrichtungen, Arbeitgebern und Anspruchsberechtigten zuständig ist, auch über Verantwortlichkeitsansprüche nach Art. 52 BVG . Im Kanton Bern kommt diese Befugnis dem Verwaltungsgericht zu (Art. 87 lic. c VRPG). Mit dieser Regelung soll die prozessuale Durchsetzung von Verantwortlichkeitsansprüchen vereinfacht werden (vgl. den Bericht der Kommission für soziale Sicherheit und Gesundheit des Nationalrats zur Parlamentarischen Initiative "Verbesserung der Insolvenzdeckung in der beruflichen Vorsorge" vom 24. August 1995, BBl 1996 576). Diese Zielsetzung steht der Zulassung von Adhäsionsklagen gemäss Art. 122 ff. StPO für Verantwortlichkeitsansprüche nach Art. 52 BVG nicht entgegen. Letztere ermöglichen es, Zivilansprüche gewissermassen "im Schlepptau des Strafverfahrens" geltend zu machen, ohne dafür einen gesonderten und damit in der Regel wesentlich aufwendigeren Zivilprozess führen zu müssen (vgl. Lieber, aa.O., N. 1 zu Art. 122). Adhäsionsklagen dienen damit ebenfalls der vereinfachten Geltendmachung der Ansprüche nach Art. 52 BVG . Wo allerdings eine vollständige Beurteilung durch den Strafrichter unverhältnismässig aufwendig ist, kann dieser über die Ansprüche nur im Grundsatz entscheiden und im Übrigen die Sache an die normalerweise zuständige Instanz, hier also an das Verwaltungsgericht, verweisen ( Art. 126 Abs. 3 StPO ).</w:t>
      </w:r>
    </w:p>
    <w:p>
      <w:r>
        <w:rPr>
          <w:b/>
        </w:rPr>
        <w:t>E. 3</w:t>
      </w:r>
    </w:p>
    <w:p>
      <w:r>
        <w:t>Damit ist die Beschwerde gutzuheissen, der angefochtene Entscheid des Obergerichts sowie der Beschluss des Wirtschaftsstrafgerichts betreffend den Ausschluss der Beschwerdeführerin vom Strafverfahren werden aufgehoben und das Wirtschaftsstrafgericht im Sinne der Erwägungen angewiesen, die Zivilklage der Beschwerdeführerin adhäsionsweise zu beurteilen. Bei diesem Ausgang des Verfahrens trägt der Beschwerdegegner die Kosten ( Art. 66 Abs. 1 BGG ). Eine Parteientschädigung steht der nicht anwaltlich vertretenen Beschwerdeführerin dagegen praxisgemäss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