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157/2009 vom 9. Juni 2009</w:t>
      </w:r>
    </w:p>
    <w:p>
      <w:r>
        <w:t>Bundesgericht, 2009-06-09, DE</w:t>
      </w:r>
    </w:p>
    <w:p>
      <w:r>
        <w:rPr>
          <w:b/>
        </w:rPr>
        <w:t xml:space="preserve">Quelle: </w:t>
      </w:r>
      <w:r>
        <w:t>https://mcp.opencaselaw.ch/entscheid/bger_1B_157_2009</w:t>
      </w:r>
    </w:p>
    <w:p>
      <w:r>
        <w:t>FR: TF 1B 157/2009 du 9 juin 2009</w:t>
      </w:r>
    </w:p>
    <w:p>
      <w:r>
        <w:t>IT: TF 1B 157/2009 del 9 giugno 2009</w:t>
      </w:r>
    </w:p>
    <w:p>
      <w:pPr>
        <w:pStyle w:val="Heading2"/>
      </w:pPr>
      <w:r>
        <w:t>Regeste</w:t>
      </w:r>
    </w:p>
    <w:p>
      <w:r>
        <w:t>Haftverlängerung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Präsidentin des Strafgerichts wird unter Beachtung des besonderen Beschleunigungsprinzips in Haftsachen ( Art. 31 Abs. 4 BV , Art. 5 Ziff. 4 EMRK ) neu zu verfügen haben.</w:t>
      </w:r>
    </w:p>
    <w:p>
      <w:r>
        <w:rPr>
          <w:b/>
        </w:rPr>
        <w:t>E. 3</w:t>
      </w:r>
    </w:p>
    <w:p>
      <w:r>
        <w:t>Beim vorliegenden Ausgang des bundesgerichtlichen Verfahrens obsiegt oder unterliegt keine Partei (Urteil 1B_61/2008 vom 3. April 2008 mit Hinweisen). Gerichtskosten sind keine zu sprechen ( Art. 66 BGG ). Damit wird das beim Bundesgericht gestellte Gesuch um unentgeltliche Rechtspflege gegenstandslos. Der nicht anwaltlich vertretene Beschwerdeführer hat praxisgemäss keinen Anspruch auf eine Parteientschädigung.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