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1B_155/2023 vom 10. Mai 2023</w:t>
      </w:r>
    </w:p>
    <w:p>
      <w:r>
        <w:t>Bundesgericht, 2023-05-10, DE</w:t>
      </w:r>
    </w:p>
    <w:p>
      <w:r>
        <w:rPr>
          <w:b/>
        </w:rPr>
        <w:t xml:space="preserve">Quelle: </w:t>
      </w:r>
      <w:r>
        <w:t>https://mcp.opencaselaw.ch/entscheid/bger_1B_155_2023</w:t>
      </w:r>
    </w:p>
    <w:p>
      <w:r>
        <w:t>FR: TF 1B_155/2023 du 10 mai 2023</w:t>
      </w:r>
    </w:p>
    <w:p>
      <w:r>
        <w:t>IT: TF 1B_155/2023 del 10 maggio 2023</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das gegen den Beschwerdeführer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1B_591/2022 vom 21. Dezember 2022 E. 4.1; 1B_40/2022 vom 1. Dezember 2022 E. 2.1; je mit weiteren Hinweisen). Woraus sich der nicht wieder gutzumachende Nachteil ergeben soll, ist in der Beschwerdeschrift darzulegen, sofern dies nicht offensichtlich ist ( BGE 141 IV 284 E. 2.3, 289 E. 1.3, je mit Hinweisen).</w:t>
      </w:r>
    </w:p>
    <w:p>
      <w:r>
        <w:rPr>
          <w:b/>
        </w:rPr>
        <w:t>E. 1.3</w:t>
      </w:r>
    </w:p>
    <w:p>
      <w:r>
        <w:t>Im Verfahren vor dem Zwangsmassnahmengericht führte der Beschwerdeführer nach den verbindlichen Feststellungen im angefochtenen Entscheid ( Art. 105 Abs. 1 BGG ) lediglich aus, dass sich auf dem Mobiltelefon viele höchstpersönliche Daten befinden würden, bezeichnete und umschrieb diese aber nicht näher. Die Vorinstanz befand, damit komme er seiner Begründungspflicht nur ungenügend nach. Der Beschwerdeführer nimmt darauf keinen Bezug, sondern lässt vor Bundesgericht lediglich erneut vortragen, auf den sichergestellten Datenträgern, insbesondere auf seinem Mobiltelefon, befänden sich "höchstpersönliche Dateien wie insbesondere privater E-Mail- und Kurznachrichtenverkehr mit ihm nahestehenden Personen Personen und intime Fotodateien, welche nicht nur ihn, sondern auch weitere Unbeteiligte zeigen". Die Entsiegelung - so die Beschwerde weiter - würde entsprechend einen gravierenden Eingriff in seine Privatsphäre bedeuten.</w:t>
      </w:r>
    </w:p>
    <w:p>
      <w:r>
        <w:t>Solche pauschalen Hinweise auf private Korrespondenz oder Fotos begründen rechtsprechungsgemäss keine schutzwürdigen Geheimnisinteressen im Sinne von Art. 248 Abs. 1 StPO (so etwa Urteile 1B_40/2022 vom 1. Dezember 2022 E. 2.2; 1B_427/2021 vom 21. Januar 2022 E. 6.5; 1B_78/2021 vom 11. November 2021 E. 3.2; 1B_564/2019 vom 17. Juni 2020 E. 6.2). Damit einhergehend vermögen sie auch nicht zu belegen, dass durch die Entsiegelung ein nicht wieder gutzumachender Nachteil im Sinne von Art. 93 Abs. 1 lit. a BGG droht (Urteil 1B_603/2022 vom 22. Februar 2023 E. 1.3.3; 1B_2/2019 vom 11. Juli 2019 E. 2.4). Die Beschwerde erweist sich aus diesem Grund als unzulässig.</w:t>
      </w:r>
    </w:p>
    <w:p>
      <w:r>
        <w:rPr>
          <w:b/>
        </w:rPr>
        <w:t>E. 2</w:t>
      </w:r>
    </w:p>
    <w:p>
      <w:r>
        <w:t>Auf die Beschwerde ist nicht einzutreten. Mit Blick auf den Umstand, dass vorliegend bereits die Eintretensvoraussetzungen offensichtlich nicht erfüllt sind, muss die Beschwerde des anwaltlich vertretenen Beschwerdeführers als aussichtslos qualifiziert werden. Das Gesuch um Gewährung der unentgeltlichen Rechtspflege und Rechtsverbeiständung ist demnach abzuweisen ( Art. 64 Abs. 1 BGG ). Es kann jedoch ausnahmsweise davon abgesehen werden,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