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1B_155/2015 vom 27. Mai 2015</w:t>
      </w:r>
    </w:p>
    <w:p>
      <w:r>
        <w:t>Bundesgericht, 2015-05-27, DE</w:t>
      </w:r>
    </w:p>
    <w:p>
      <w:r>
        <w:rPr>
          <w:b/>
        </w:rPr>
        <w:t xml:space="preserve">Quelle: </w:t>
      </w:r>
      <w:r>
        <w:t>https://mcp.opencaselaw.ch/entscheid/bger_1B_155_2015</w:t>
      </w:r>
    </w:p>
    <w:p>
      <w:r>
        <w:t>FR: TF 1B_155/2015 du 27 mai 2015</w:t>
      </w:r>
    </w:p>
    <w:p>
      <w:r>
        <w:t>IT: TF 1B_155/2015 del 27 maggio 2015</w:t>
      </w:r>
    </w:p>
    <w:p>
      <w:pPr>
        <w:pStyle w:val="Heading2"/>
      </w:pPr>
      <w:r>
        <w:t>Erwägungen</w:t>
      </w:r>
    </w:p>
    <w:p>
      <w:r>
        <w:rPr>
          <w:b/>
        </w:rPr>
        <w:t>E. 1</w:t>
      </w:r>
    </w:p>
    <w:p>
      <w:r>
        <w:t>Angefochten ist der kantonal letztinstanzliche Entscheid des Obergerichts über die Verlängerung einer an Stelle von Untersuchungshaft angeordneten Ersatzmassnahme. Dagegen ist die Beschwerde in Strafsachen nach den Art. 78 ff. BGG gegeben. Die Beschwerdeführerin ist durch die Verlängerung des Kontaktverbots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Untersuchungshaft kann unter anderem angeordnet werden, wenn ein dringender Tatverdacht in Bezug auf ein Verbrechen oder Vergehen sowie Wiederholungsgefahr besteht ( Art. 221 Abs. 1 StPO ). Lässt sich der Zweck der Untersuchungshaft durch eine mildere Massnahme erreichen, ist an Stelle von Haft eine Ersatzmassnahme anzuordnen ( Art. 237 Abs. 1 StPO ).</w:t>
      </w:r>
    </w:p>
    <w:p>
      <w:r>
        <w:rPr>
          <w:b/>
        </w:rPr>
        <w:t>E. 2.1</w:t>
      </w:r>
    </w:p>
    <w:p>
      <w:r>
        <w:t>Für das Obergericht ist die Beschwerdeführerin der mehrfachen Körperverletzung und damit eines mehrfachen Vergehens ( Art. 123 Ziff. 2 StGB i.V.m. Art. 10 Abs. 3 StGB ) dringend verdächtig. Dies weil sich massive Misshandlungen als wahrscheinlichste Ursache der Verletzungen des Kindes herausgestellt haben, sie als alleinerziehende Mutter im fraglichen Zeitraum weitaus am meisten Zeit allein mit ihrem Kind verbrachte, Aussagen des Kindsvaters auf eine Überforderung im Umgang mit dem Kind hindeuten würden, Fachpersonen des Kinderheims Entlisberg bei ihr "Defizite" im Umgang mit ihrer Tochter festgestellt hätten und die Strafuntersuchung bisher keinerlei Hinweise darauf ergeben hätte, dass eine der anderen Personen, die das Kind im fraglichen Zeitraum betreuten, für die Übergriffe in Frage kämen.</w:t>
      </w:r>
    </w:p>
    <w:p>
      <w:r>
        <w:t>Entgegen der Auffassung der Beschwerdeführerin ist sie damit keineswegs gleich verdächtig bzw. unverdächtig wie alle anderen Personen, die das Kind im fraglichen Zeitraum betreuten; sie steht für das Obergericht als mögliche Täterin klar im Vordergrund. Die Frage, ob ein dringender Tatverdacht gegen sie besteht, der die Anordnung von Untersuchungshaft rechtfertigen könnte, braucht allerdings nicht abschliessend geklärt zu werden, da Wiederholungsgefahr als weitere Voraussetzung für die Aufrechterhaltung des Kontaktverbots nicht besteht (unten E. 2.3).</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2.3</w:t>
      </w:r>
    </w:p>
    <w:p>
      <w:r>
        <w:t>Die Annahme von Wiederholungsgefahr setzt voraus, dass die Beschwerdeführerin überhaupt die Möglichkeit hätte, ihrer Tochter Gewalt anzutun. Das ist vorliegend nicht der Fall. Die Kindes- und Erwachsenenschutzbehörde (KESB) Dietikon hat ihr die Obhut über B.________ entzogen und diese in einem Kinderheim fremdplaziert. Die Beschwerdeführerin darf ihre Tochter dort nur unter permanenter Aufsicht besuchen. Die KESB hat vom Strafverfahren Kenntnis, das Zwangsmassnahmengericht und das Obergericht haben ihr ihre Entscheide betreffend die Anordnung bzw. Verlängerung der Ersatzmassnahmen sogar teilweise direkt zugestellt. Die Tochter wird im Strafverfahren gegen ihre Mutter zudem von einer Prozessbeiständin vertreten. Es besteht somit keine Gefahr, dass die KESB über das Strafverfahren nicht auf dem Laufenden gehalten wird und - in Unkenntnis dessen Ausgangs - aufgrund einer unvollständigen Aktenlage allenfalls eine unsachgemässe Entscheidung über die Aufhebung bzw. Fortführung von Schutzmassnahmen zu Gunsten von B.________ treffen könnte. Es liegt in der Verantwortung der KESB als zuständiger Fachbehörde, die zum Schutz von B.________ erforderlichen Massnahmen zwar unter Berücksichtigung des gegen die Mutter laufenden Strafverfahrens, aber unabhängig von diesem - die Aufrechterhaltung von Schutzmassnahmen kann möglicherweise auch geboten sein, wenn die Beschwerdeführerin freigesprochen werden sollte - zu treffen und gegebenenfalls sich ändernden Verhältnissen anzupassen.</w:t>
      </w:r>
    </w:p>
    <w:p>
      <w:r>
        <w:t>Zusammenfassend ist unter diesen Umständen auszuschliessen, dass die KESB der Beschwerdeführerin die Möglichkeit einräumt, mit ihrer Tochter unbeaufsichtigte Kontakte zu pflegen oder sie gar zu sich nach Hause zu nehmen, bevor sie sich davon überzeugt hat, dass die Beschwerdeführerin ihre elterlichen Verpflichtungen gegenüber ihrer Tochter vollumfänglich wahrnehmen kann und kein ernsthaftes Risiko dafür besteht, dass sie ihre Tochter misshandeln könnte. Das Obergericht hat daher Bundesrecht verletzt, indem es Wiederholungsgefahr angenommen hat. Die Beschwerde ist begründet. Aus dem Urteil 1B_250/2013 vom 28. August 2013 ergibt sich nichts anderes. In diesem Verfahren hat der weit schwerwiegenderer Vorwürfe beschuldigte Vater selber beantragt, unter Anordnung von Ersatzmassnahmen aus der Haft entlassen zu werden, die Frage, ob der Schutz des Kindes auch bei einer Haftentlassung des Vaters ohne Auferlegung von Ersatzmassnahmen gewährleistet gewesen wäre, stellte sich nicht. Faktisch ändert sich durch die Aufhebung des strafprozessualen Kontaktverbots für die Beschwerdeführerin ohnehin nichts, wie bisher entscheidet die KESB darüber, in welchem Umfang und in welchem Rahmen sie Kontakt zu ihrer Tochter haben kann.</w:t>
      </w:r>
    </w:p>
    <w:p>
      <w:r>
        <w:rPr>
          <w:b/>
        </w:rPr>
        <w:t>E. 3</w:t>
      </w:r>
    </w:p>
    <w:p>
      <w:r>
        <w:t>Die Beschwerde ist somit gutzuheissen und der angefochtene Entscheid sowie das umstrittene Kontaktverbot sind aufzuheben. Bei diesem Ausgang des Verfahrens sind keine Kosten zu erheben ( Art. 66 Abs. 4 BGG ), und der Kanton Zürich hat der Beschwerdeführerin bzw. ihrem Anwalt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