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155/2011 vom 14. Juni 2011</w:t>
      </w:r>
    </w:p>
    <w:p>
      <w:r>
        <w:t>Bundesgericht, 2011-06-14, DE</w:t>
      </w:r>
    </w:p>
    <w:p>
      <w:r>
        <w:rPr>
          <w:b/>
        </w:rPr>
        <w:t xml:space="preserve">Quelle: </w:t>
      </w:r>
      <w:r>
        <w:t>https://mcp.opencaselaw.ch/entscheid/bger_1B_155_2011</w:t>
      </w:r>
    </w:p>
    <w:p>
      <w:r>
        <w:t>FR: TF 1B 155/2011 du 14 juin 2011</w:t>
      </w:r>
    </w:p>
    <w:p>
      <w:r>
        <w:t>IT: TF 1B 155/2011 del 14 giugno 2011</w:t>
      </w:r>
    </w:p>
    <w:p>
      <w:pPr>
        <w:pStyle w:val="Heading2"/>
      </w:pPr>
      <w:r>
        <w:t>Regeste</w:t>
      </w:r>
    </w:p>
    <w:p>
      <w:r>
        <w:t>Entsiegelung | Strafprozess</w:t>
      </w:r>
    </w:p>
    <w:p>
      <w:pPr>
        <w:pStyle w:val="Heading2"/>
      </w:pPr>
      <w:r>
        <w:t>Erwägungen</w:t>
      </w:r>
    </w:p>
    <w:p>
      <w:r>
        <w:rPr>
          <w:b/>
        </w:rPr>
        <w:t>E. 1.1</w:t>
      </w:r>
    </w:p>
    <w:p>
      <w:r>
        <w:t>Gemäss Art. 78 Abs. 1 BGG beurteilt das Bundesgericht Beschwerden gegen Entscheide in Strafsachen. Der angefochtene Entscheid datiert vom 3. März 2011. Anwendbar ist deshalb die am 1. Januar 2011 in Kraft getretene Schweizerische Strafprozessordnung (StPO; SR 312.0; siehe Art. 453 f. StPO und Urteil 1B_411/2010 vom 7. Februar 2011 E. 1.3 mit Hinweisen). Die Siegelung wird in Art. 246 StPO geregelt. Nach Abs. 3 dieser Bestimmung entscheidet das Zwangsmassnahmengericht im Vorverfahren über ein Entsiegelungsgesuch endgültig. Der Entscheid ist somit kantonal letztinstanzlich ( Art. 80 BGG , Art. 380 StPO ).</w:t>
      </w:r>
    </w:p>
    <w:p>
      <w:r>
        <w:rPr>
          <w:b/>
        </w:rPr>
        <w:t>E. 1.2</w:t>
      </w:r>
    </w:p>
    <w:p>
      <w:r>
        <w:t>Das Zwangsmassnahmengericht prüfte im angefochtenen Entscheid, ob die Entsiegelung im Grundsatz zulässig ist. Da ein hinreichender Tatverdacht bezüglich Geldwäscherei und Veruntreuung bestehe und augenscheinlich sei, dass die beschlagnahmten und versiegelten Akten relevante Informationen enthielten, sei dies der Fall. Das Zwangsmassnahmengericht führte weiter aus, dass in einem zweiten, noch zu erfolgenden Schritt zu prüfen sei, ob in Bezug auf die einzelnen Aktenstücke überwiegende Interessen der Entsiegelung entgegenstünden. Mit dem angefochtenen Entscheid wurde das Strafverfahren gegen die Beschwerdeführerin nicht abgeschlossen. Es liegt ein Zwischenentscheid im Sinne von Art. 93 BGG vor, welcher nur dann der Beschwerde ans Bundesgericht unterliegt, wenn er einen nicht wieder gutzumachenden Nachteil bewirken kann (Abs. 1 lit. a) oder wenn die Gutheissung der Beschwerde sofort einen Endentscheid herbeiführen und damit einen bedeutenden Aufwand an Zeit oder Kosten für ein weitläufiges Beweisverfahren ersparen würde (Abs. 1 lit. b). Diese beiden alternativen Voraussetzungen sind im Folgenden zu prüfen.</w:t>
      </w:r>
    </w:p>
    <w:p>
      <w:r>
        <w:rPr>
          <w:b/>
        </w:rPr>
        <w:t>E. 1.3</w:t>
      </w:r>
    </w:p>
    <w:p>
      <w:r>
        <w:t>Die Beschwerdeführerin erblickt einen nicht wieder gutzumachenden Nachteil darin, dass ihre geschützten Geheimhaltungsinteressen verletzt würden. Der Staatsanwaltschaft würde es durch den nächsten Verfahrensschritt ermöglicht, Kenntnis von den Anwaltsakten zu nehmen. Der dadurch entstandene Schaden sei irreversibel. Die Beschwerdeführerin verkennt, dass die Vorinstanz über die Entsiegelung noch nicht entschieden, sondern erst die Durchführung des dazu notwendigen Verfahrens verfügt hat. Bei diesem Verfahren hat der Entsiegelungsrichter sicherzustellen, dass die Staatsanwaltschaft noch keine Detailkenntnisse über den Inhalt der Akten erhält. Gleiches hatte das Untersuchungsrichteramt übrigens auch schon bei der Triage des beschlagnahmten Materials zu beachten, welche zusammen mit der Beschwerdeführerin bzw. deren Rechtsvertretern im Nachgang zur Hausdurchsuchung durchgeführt wurde (Urteil 1B_200/2007 vom 15. Januar 2008 E. 2.6 mit Hinweisen). Ein nicht wieder gutzumachender Nachteil liegt aufgrund dieser Pflicht weder im einen noch im andern Fall vor (a.a.O., E. 2.3 mit Hinweisen; zum Ganzen: zur Publikation vorgesehenes Urteil 1B_412/2010 vom 4. April 2011 E. 4 mit Hinweisen).</w:t>
      </w:r>
    </w:p>
    <w:p>
      <w:r>
        <w:rPr>
          <w:b/>
        </w:rPr>
        <w:t>E. 1.4</w:t>
      </w:r>
    </w:p>
    <w:p>
      <w:r>
        <w:t>Art. 93 Abs. 1 lit. b BGG fällt ebenfalls ausser Betracht. Die Gutheissung der Beschwerde würde das Strafverfahren, in welchem die Beschwerdeführerin Beschuldigte ist, nicht abschliessen. Zudem legt das Bundesgericht die Voraussetzung, wonach die Gutheissung der Beschwerde einen bedeutenden Aufwand an Zeit oder Kosten für ein weitläufiges Beweisverfahren ersparen muss, im Strafverfahren restriktiv aus (Urteil 6B_782/2008 vom 12. Mai 2009 E. 1.4 mit Hinweisen, in: Pra 2009 Nr. 115 S. 787). Der Aufwand, der dadurch entsteht, dass das Zwangsmassnahmengericht im Beisein der Parteien die versiegelten Akten daraufhin prüft, ob schützenswerte Geheimhaltungsinteressen einer Weitergabe an die Strafuntersuchungsbehörden entgegenstehen, erfüllt diese Voraussetzung nicht.</w:t>
      </w:r>
    </w:p>
    <w:p>
      <w:r>
        <w:rPr>
          <w:b/>
        </w:rPr>
        <w:t>E. 2</w:t>
      </w:r>
    </w:p>
    <w:p>
      <w:r>
        <w:t>Es ergibt sich, dass auf die Beschwerde nicht einzutreten ist. Diesem Verfahrensausgang entsprechend werden die Gerichtskosten der Beschwerdeführerin auferlegt ( Art. 66 Abs. 1 BGG ). Sie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